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56"/>
          <w:szCs w:val="56"/>
        </w:rPr>
      </w:pPr>
    </w:p>
    <w:p>
      <w:pPr>
        <w:jc w:val="center"/>
        <w:rPr>
          <w:rFonts w:hint="eastAsia"/>
          <w:b/>
          <w:sz w:val="56"/>
          <w:szCs w:val="56"/>
        </w:rPr>
      </w:pPr>
      <w:r>
        <w:rPr>
          <w:rFonts w:hint="eastAsia"/>
          <w:b/>
          <w:sz w:val="56"/>
          <w:szCs w:val="56"/>
        </w:rPr>
        <w:t>新能源汽车制造与检测专业</w:t>
      </w:r>
    </w:p>
    <w:p>
      <w:pPr>
        <w:jc w:val="center"/>
        <w:rPr>
          <w:b/>
          <w:sz w:val="56"/>
          <w:szCs w:val="56"/>
        </w:rPr>
      </w:pPr>
      <w:r>
        <w:rPr>
          <w:b/>
          <w:sz w:val="56"/>
          <w:szCs w:val="56"/>
        </w:rPr>
        <w:t>人才培养方案</w:t>
      </w:r>
    </w:p>
    <w:p>
      <w:pPr>
        <w:jc w:val="center"/>
        <w:rPr>
          <w:rFonts w:hAnsi="宋体"/>
          <w:b/>
          <w:sz w:val="44"/>
          <w:szCs w:val="44"/>
        </w:rPr>
      </w:pPr>
      <w:r>
        <w:rPr>
          <w:rFonts w:hint="eastAsia" w:hAnsi="宋体"/>
          <w:b/>
          <w:sz w:val="44"/>
          <w:szCs w:val="44"/>
        </w:rPr>
        <w:t>（修订稿）</w:t>
      </w:r>
    </w:p>
    <w:p>
      <w:pPr>
        <w:jc w:val="center"/>
        <w:rPr>
          <w:b/>
          <w:sz w:val="72"/>
          <w:szCs w:val="72"/>
        </w:rPr>
      </w:pPr>
    </w:p>
    <w:p/>
    <w:p/>
    <w:p/>
    <w:p/>
    <w:p/>
    <w:p/>
    <w:p/>
    <w:p/>
    <w:p/>
    <w:p/>
    <w:p/>
    <w:p/>
    <w:p/>
    <w:p/>
    <w:p>
      <w:pPr>
        <w:ind w:firstLine="2800" w:firstLineChars="1000"/>
        <w:rPr>
          <w:sz w:val="28"/>
          <w:szCs w:val="36"/>
        </w:rPr>
      </w:pPr>
    </w:p>
    <w:p>
      <w:pPr>
        <w:ind w:firstLine="2800" w:firstLineChars="1000"/>
        <w:rPr>
          <w:sz w:val="28"/>
          <w:szCs w:val="36"/>
        </w:rPr>
      </w:pPr>
    </w:p>
    <w:p>
      <w:pPr>
        <w:ind w:firstLine="2800" w:firstLineChars="1000"/>
        <w:rPr>
          <w:sz w:val="28"/>
          <w:szCs w:val="36"/>
        </w:rPr>
      </w:pPr>
    </w:p>
    <w:p>
      <w:pPr>
        <w:ind w:firstLine="2800" w:firstLineChars="1000"/>
        <w:rPr>
          <w:sz w:val="28"/>
          <w:szCs w:val="36"/>
        </w:rPr>
      </w:pPr>
    </w:p>
    <w:p>
      <w:pPr>
        <w:spacing w:line="480" w:lineRule="auto"/>
        <w:jc w:val="center"/>
        <w:rPr>
          <w:sz w:val="32"/>
          <w:szCs w:val="32"/>
        </w:rPr>
      </w:pPr>
      <w:r>
        <w:rPr>
          <w:rFonts w:hint="eastAsia"/>
          <w:sz w:val="32"/>
          <w:szCs w:val="32"/>
        </w:rPr>
        <w:t>新乡测绘中等专业学校</w:t>
      </w:r>
    </w:p>
    <w:p>
      <w:pPr>
        <w:jc w:val="center"/>
        <w:rPr>
          <w:sz w:val="28"/>
          <w:szCs w:val="36"/>
        </w:rPr>
        <w:sectPr>
          <w:headerReference r:id="rId3" w:type="default"/>
          <w:pgSz w:w="11906" w:h="16838"/>
          <w:pgMar w:top="1440" w:right="1800" w:bottom="1440" w:left="1800" w:header="851" w:footer="992" w:gutter="0"/>
          <w:cols w:space="720" w:num="1"/>
          <w:docGrid w:type="lines" w:linePitch="312" w:charSpace="0"/>
        </w:sectPr>
      </w:pPr>
      <w:r>
        <w:rPr>
          <w:rFonts w:hint="eastAsia"/>
          <w:sz w:val="32"/>
          <w:szCs w:val="32"/>
        </w:rPr>
        <w:t>2020年</w:t>
      </w:r>
    </w:p>
    <w:p>
      <w:pPr>
        <w:spacing w:line="360" w:lineRule="auto"/>
        <w:rPr>
          <w:rFonts w:ascii="宋体" w:hAnsi="宋体" w:cs="宋体"/>
          <w:b/>
          <w:sz w:val="30"/>
          <w:szCs w:val="30"/>
        </w:rPr>
      </w:pPr>
      <w:r>
        <w:rPr>
          <w:rFonts w:hint="eastAsia" w:ascii="宋体" w:hAnsi="宋体" w:cs="宋体"/>
          <w:b/>
          <w:sz w:val="30"/>
          <w:szCs w:val="30"/>
        </w:rPr>
        <w:t>一、专业名称（专业代码）</w:t>
      </w:r>
    </w:p>
    <w:p>
      <w:pPr>
        <w:spacing w:line="360" w:lineRule="auto"/>
        <w:rPr>
          <w:rFonts w:hint="eastAsia" w:ascii="仿宋" w:hAnsi="仿宋" w:eastAsia="仿宋" w:cs="仿宋"/>
          <w:sz w:val="30"/>
          <w:szCs w:val="30"/>
        </w:rPr>
      </w:pPr>
      <w:r>
        <w:rPr>
          <w:rFonts w:hint="eastAsia" w:ascii="仿宋" w:hAnsi="仿宋" w:eastAsia="仿宋" w:cs="仿宋"/>
          <w:sz w:val="30"/>
          <w:szCs w:val="30"/>
        </w:rPr>
        <w:t>新能源汽车制造与检测660701</w:t>
      </w:r>
    </w:p>
    <w:p>
      <w:pPr>
        <w:spacing w:line="360" w:lineRule="auto"/>
        <w:rPr>
          <w:rFonts w:ascii="宋体" w:hAnsi="宋体" w:cs="宋体"/>
          <w:b/>
          <w:sz w:val="30"/>
          <w:szCs w:val="30"/>
        </w:rPr>
      </w:pPr>
      <w:r>
        <w:rPr>
          <w:rFonts w:hint="eastAsia" w:ascii="宋体" w:hAnsi="宋体" w:cs="宋体"/>
          <w:b/>
          <w:sz w:val="30"/>
          <w:szCs w:val="30"/>
        </w:rPr>
        <w:t>二、入学要求</w:t>
      </w:r>
    </w:p>
    <w:p>
      <w:pPr>
        <w:spacing w:line="360" w:lineRule="auto"/>
        <w:rPr>
          <w:rFonts w:ascii="仿宋" w:hAnsi="仿宋" w:eastAsia="仿宋" w:cs="仿宋"/>
          <w:sz w:val="30"/>
          <w:szCs w:val="30"/>
        </w:rPr>
      </w:pPr>
      <w:r>
        <w:rPr>
          <w:rFonts w:hint="eastAsia" w:ascii="仿宋" w:hAnsi="仿宋" w:eastAsia="仿宋" w:cs="仿宋"/>
          <w:sz w:val="30"/>
          <w:szCs w:val="30"/>
        </w:rPr>
        <w:t>初中毕业或具有同等学历</w:t>
      </w:r>
    </w:p>
    <w:p>
      <w:pPr>
        <w:spacing w:line="360" w:lineRule="auto"/>
        <w:rPr>
          <w:rFonts w:ascii="宋体" w:hAnsi="宋体" w:cs="宋体"/>
          <w:b/>
          <w:sz w:val="30"/>
          <w:szCs w:val="30"/>
        </w:rPr>
      </w:pPr>
      <w:r>
        <w:rPr>
          <w:rFonts w:hint="eastAsia" w:ascii="宋体" w:hAnsi="宋体" w:cs="宋体"/>
          <w:b/>
          <w:sz w:val="30"/>
          <w:szCs w:val="30"/>
        </w:rPr>
        <w:t>三、基本学制</w:t>
      </w:r>
    </w:p>
    <w:p>
      <w:pPr>
        <w:spacing w:line="360" w:lineRule="auto"/>
        <w:rPr>
          <w:rFonts w:ascii="宋体" w:hAnsi="宋体" w:cs="宋体"/>
          <w:bCs/>
          <w:sz w:val="24"/>
        </w:rPr>
      </w:pPr>
      <w:r>
        <w:rPr>
          <w:rFonts w:hint="eastAsia" w:ascii="宋体" w:hAnsi="宋体" w:cs="宋体"/>
          <w:b/>
          <w:sz w:val="24"/>
        </w:rPr>
        <w:t xml:space="preserve"> </w:t>
      </w:r>
      <w:r>
        <w:rPr>
          <w:rFonts w:ascii="仿宋" w:hAnsi="仿宋" w:eastAsia="仿宋" w:cs="仿宋"/>
          <w:sz w:val="30"/>
          <w:szCs w:val="30"/>
        </w:rPr>
        <w:t xml:space="preserve">   3</w:t>
      </w:r>
      <w:r>
        <w:rPr>
          <w:rFonts w:hint="eastAsia" w:ascii="仿宋" w:hAnsi="仿宋" w:eastAsia="仿宋" w:cs="仿宋"/>
          <w:sz w:val="30"/>
          <w:szCs w:val="30"/>
        </w:rPr>
        <w:t>年</w:t>
      </w:r>
    </w:p>
    <w:p>
      <w:pPr>
        <w:spacing w:line="360" w:lineRule="auto"/>
        <w:rPr>
          <w:rFonts w:ascii="宋体" w:hAnsi="宋体" w:cs="宋体"/>
          <w:b/>
          <w:sz w:val="30"/>
          <w:szCs w:val="30"/>
        </w:rPr>
      </w:pPr>
      <w:r>
        <w:rPr>
          <w:rFonts w:hint="eastAsia" w:ascii="宋体" w:hAnsi="宋体" w:cs="宋体"/>
          <w:b/>
          <w:sz w:val="30"/>
          <w:szCs w:val="30"/>
        </w:rPr>
        <w:t>四、培养目标</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全面贯彻党的教育方针，坚持立德树人的根本要求，本专业培养与我国社会主义现代化建设要求相适应的，德、智、体、美、劳全面发展的，掌握必需的科学文化知识的，具有扎实的</w:t>
      </w:r>
      <w:r>
        <w:rPr>
          <w:rFonts w:hint="eastAsia" w:ascii="仿宋" w:hAnsi="仿宋" w:eastAsia="仿宋" w:cs="仿宋"/>
          <w:sz w:val="30"/>
          <w:szCs w:val="30"/>
          <w:lang w:eastAsia="zh-CN"/>
        </w:rPr>
        <w:t>新能源汽车制造与检测</w:t>
      </w:r>
      <w:r>
        <w:rPr>
          <w:rFonts w:hint="eastAsia" w:ascii="仿宋" w:hAnsi="仿宋" w:eastAsia="仿宋" w:cs="仿宋"/>
          <w:sz w:val="30"/>
          <w:szCs w:val="30"/>
        </w:rPr>
        <w:t>基础知识和基本技能的，在生产、服务和管理第一线工作的具有职业生涯发展基础的中等应用性综合型技能人才。同时也为学生个体进一步升学和专业深造奠定基础，为高职甚至本科院校输送具有一定专业知识和技能的合格生源，实现中高职学业通道的进一步贯通。</w:t>
      </w:r>
    </w:p>
    <w:p>
      <w:pPr>
        <w:spacing w:line="360" w:lineRule="auto"/>
        <w:rPr>
          <w:rFonts w:ascii="宋体" w:hAnsi="宋体" w:cs="宋体"/>
          <w:b/>
          <w:sz w:val="30"/>
          <w:szCs w:val="30"/>
        </w:rPr>
      </w:pPr>
      <w:r>
        <w:rPr>
          <w:rFonts w:hint="eastAsia" w:ascii="宋体" w:hAnsi="宋体" w:cs="宋体"/>
          <w:b/>
          <w:sz w:val="30"/>
          <w:szCs w:val="30"/>
        </w:rPr>
        <w:t>五、职业范围</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2"/>
        <w:gridCol w:w="2230"/>
        <w:gridCol w:w="2393"/>
        <w:gridCol w:w="3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0" w:type="auto"/>
            <w:shd w:val="clear" w:color="auto" w:fill="auto"/>
          </w:tcPr>
          <w:p>
            <w:pPr>
              <w:spacing w:line="360" w:lineRule="auto"/>
              <w:rPr>
                <w:rFonts w:ascii="仿宋" w:hAnsi="仿宋" w:eastAsia="仿宋" w:cs="宋体"/>
                <w:sz w:val="30"/>
                <w:szCs w:val="30"/>
              </w:rPr>
            </w:pPr>
            <w:r>
              <w:rPr>
                <w:rFonts w:hint="eastAsia" w:ascii="仿宋" w:hAnsi="仿宋" w:eastAsia="仿宋" w:cs="宋体"/>
                <w:sz w:val="30"/>
                <w:szCs w:val="30"/>
              </w:rPr>
              <w:t>序号</w:t>
            </w:r>
          </w:p>
        </w:tc>
        <w:tc>
          <w:tcPr>
            <w:tcW w:w="0" w:type="auto"/>
            <w:shd w:val="clear" w:color="auto" w:fill="auto"/>
          </w:tcPr>
          <w:p>
            <w:pPr>
              <w:spacing w:line="360" w:lineRule="auto"/>
              <w:rPr>
                <w:rFonts w:ascii="仿宋" w:hAnsi="仿宋" w:eastAsia="仿宋" w:cs="宋体"/>
                <w:sz w:val="30"/>
                <w:szCs w:val="30"/>
              </w:rPr>
            </w:pPr>
            <w:r>
              <w:rPr>
                <w:rFonts w:hint="eastAsia" w:ascii="仿宋" w:hAnsi="仿宋" w:eastAsia="仿宋" w:cs="宋体"/>
                <w:sz w:val="30"/>
                <w:szCs w:val="30"/>
              </w:rPr>
              <w:t>对应职位（岗位）</w:t>
            </w:r>
          </w:p>
        </w:tc>
        <w:tc>
          <w:tcPr>
            <w:tcW w:w="0" w:type="auto"/>
            <w:shd w:val="clear" w:color="auto" w:fill="auto"/>
          </w:tcPr>
          <w:p>
            <w:pPr>
              <w:spacing w:line="360" w:lineRule="auto"/>
              <w:rPr>
                <w:rFonts w:ascii="仿宋" w:hAnsi="仿宋" w:eastAsia="仿宋" w:cs="宋体"/>
                <w:sz w:val="30"/>
                <w:szCs w:val="30"/>
              </w:rPr>
            </w:pPr>
            <w:r>
              <w:rPr>
                <w:rFonts w:hint="eastAsia" w:ascii="仿宋" w:hAnsi="仿宋" w:eastAsia="仿宋" w:cs="宋体"/>
                <w:sz w:val="30"/>
                <w:szCs w:val="30"/>
              </w:rPr>
              <w:t>职业资格证书举例</w:t>
            </w:r>
          </w:p>
        </w:tc>
        <w:tc>
          <w:tcPr>
            <w:tcW w:w="0" w:type="auto"/>
            <w:shd w:val="clear" w:color="auto" w:fill="auto"/>
          </w:tcPr>
          <w:p>
            <w:pPr>
              <w:spacing w:line="360" w:lineRule="auto"/>
              <w:rPr>
                <w:rFonts w:ascii="仿宋" w:hAnsi="仿宋" w:eastAsia="仿宋" w:cs="宋体"/>
                <w:sz w:val="30"/>
                <w:szCs w:val="30"/>
              </w:rPr>
            </w:pPr>
            <w:r>
              <w:rPr>
                <w:rFonts w:hint="eastAsia" w:ascii="仿宋" w:hAnsi="仿宋" w:eastAsia="仿宋" w:cs="宋体"/>
                <w:sz w:val="30"/>
                <w:szCs w:val="30"/>
              </w:rPr>
              <w:t>专业技能方向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0" w:type="auto"/>
            <w:shd w:val="clear" w:color="auto" w:fill="auto"/>
          </w:tcPr>
          <w:p>
            <w:pPr>
              <w:spacing w:line="360" w:lineRule="auto"/>
              <w:rPr>
                <w:rFonts w:ascii="仿宋" w:hAnsi="仿宋" w:eastAsia="仿宋" w:cs="宋体"/>
                <w:sz w:val="30"/>
                <w:szCs w:val="30"/>
              </w:rPr>
            </w:pPr>
            <w:r>
              <w:rPr>
                <w:rFonts w:hint="eastAsia" w:ascii="仿宋" w:hAnsi="仿宋" w:eastAsia="仿宋" w:cs="宋体"/>
                <w:sz w:val="30"/>
                <w:szCs w:val="30"/>
              </w:rPr>
              <w:t>1</w:t>
            </w:r>
          </w:p>
        </w:tc>
        <w:tc>
          <w:tcPr>
            <w:tcW w:w="0" w:type="auto"/>
            <w:shd w:val="clear" w:color="auto" w:fill="auto"/>
          </w:tcPr>
          <w:p>
            <w:pPr>
              <w:spacing w:line="360" w:lineRule="auto"/>
              <w:rPr>
                <w:rFonts w:ascii="仿宋" w:hAnsi="仿宋" w:eastAsia="仿宋" w:cs="宋体"/>
                <w:sz w:val="30"/>
                <w:szCs w:val="30"/>
              </w:rPr>
            </w:pPr>
            <w:r>
              <w:rPr>
                <w:rFonts w:hint="eastAsia" w:ascii="仿宋" w:hAnsi="仿宋" w:eastAsia="仿宋" w:cs="仿宋"/>
                <w:sz w:val="24"/>
                <w:szCs w:val="24"/>
                <w:highlight w:val="none"/>
              </w:rPr>
              <w:t>新能源汽车相关岗位</w:t>
            </w:r>
          </w:p>
        </w:tc>
        <w:tc>
          <w:tcPr>
            <w:tcW w:w="0" w:type="auto"/>
            <w:shd w:val="clear" w:color="auto" w:fill="auto"/>
          </w:tcPr>
          <w:p>
            <w:pPr>
              <w:spacing w:line="360" w:lineRule="auto"/>
              <w:rPr>
                <w:rFonts w:hint="eastAsia" w:ascii="仿宋" w:hAnsi="仿宋" w:eastAsia="仿宋" w:cs="宋体"/>
                <w:sz w:val="30"/>
                <w:szCs w:val="30"/>
                <w:lang w:val="en-US" w:eastAsia="zh-CN"/>
              </w:rPr>
            </w:pPr>
            <w:r>
              <w:rPr>
                <w:rFonts w:hint="eastAsia" w:ascii="仿宋" w:hAnsi="仿宋" w:eastAsia="仿宋" w:cs="仿宋"/>
                <w:sz w:val="24"/>
                <w:szCs w:val="24"/>
                <w:highlight w:val="none"/>
              </w:rPr>
              <w:t>汽车</w:t>
            </w:r>
            <w:r>
              <w:rPr>
                <w:rFonts w:hint="eastAsia" w:ascii="仿宋" w:hAnsi="仿宋" w:eastAsia="仿宋" w:cs="仿宋"/>
                <w:sz w:val="24"/>
                <w:szCs w:val="24"/>
                <w:highlight w:val="none"/>
                <w:lang w:eastAsia="zh-CN"/>
              </w:rPr>
              <w:t>检测员、汽车维修员</w:t>
            </w:r>
          </w:p>
        </w:tc>
        <w:tc>
          <w:tcPr>
            <w:tcW w:w="0" w:type="auto"/>
            <w:shd w:val="clear" w:color="auto" w:fill="auto"/>
          </w:tcPr>
          <w:p>
            <w:pPr>
              <w:spacing w:line="360" w:lineRule="auto"/>
              <w:rPr>
                <w:rFonts w:ascii="仿宋" w:hAnsi="仿宋" w:eastAsia="仿宋" w:cs="宋体"/>
                <w:sz w:val="30"/>
                <w:szCs w:val="30"/>
              </w:rPr>
            </w:pPr>
            <w:r>
              <w:rPr>
                <w:rFonts w:hint="eastAsia" w:ascii="仿宋" w:hAnsi="仿宋" w:eastAsia="仿宋" w:cs="仿宋"/>
                <w:sz w:val="24"/>
                <w:szCs w:val="24"/>
                <w:highlight w:val="none"/>
              </w:rPr>
              <w:t>新能源汽车制造、新能源汽车检测</w:t>
            </w:r>
          </w:p>
        </w:tc>
      </w:tr>
    </w:tbl>
    <w:p>
      <w:pPr>
        <w:spacing w:line="360" w:lineRule="auto"/>
        <w:rPr>
          <w:rFonts w:ascii="仿宋" w:hAnsi="仿宋" w:eastAsia="仿宋" w:cs="仿宋"/>
          <w:sz w:val="30"/>
          <w:szCs w:val="30"/>
        </w:rPr>
      </w:pPr>
      <w:r>
        <w:rPr>
          <w:rFonts w:hint="eastAsia" w:ascii="仿宋" w:hAnsi="仿宋" w:eastAsia="仿宋" w:cs="仿宋"/>
          <w:sz w:val="30"/>
          <w:szCs w:val="30"/>
        </w:rPr>
        <w:t>说明：可根据区域实际情况和专业技能方向，结和1+</w:t>
      </w:r>
      <w:r>
        <w:rPr>
          <w:rFonts w:ascii="仿宋" w:hAnsi="仿宋" w:eastAsia="仿宋" w:cs="仿宋"/>
          <w:sz w:val="30"/>
          <w:szCs w:val="30"/>
        </w:rPr>
        <w:t>X</w:t>
      </w:r>
      <w:r>
        <w:rPr>
          <w:rFonts w:hint="eastAsia" w:ascii="仿宋" w:hAnsi="仿宋" w:eastAsia="仿宋" w:cs="仿宋"/>
          <w:sz w:val="30"/>
          <w:szCs w:val="30"/>
        </w:rPr>
        <w:t>试点工作，取得1个以上相关证书</w:t>
      </w:r>
    </w:p>
    <w:p>
      <w:pPr>
        <w:numPr>
          <w:numId w:val="0"/>
        </w:numPr>
        <w:spacing w:line="360" w:lineRule="auto"/>
      </w:pPr>
      <w:r>
        <w:rPr>
          <w:rFonts w:hint="eastAsia" w:ascii="宋体" w:hAnsi="宋体" w:cs="宋体"/>
          <w:b/>
          <w:sz w:val="30"/>
          <w:szCs w:val="30"/>
          <w:lang w:eastAsia="zh-CN"/>
        </w:rPr>
        <w:t>六、</w:t>
      </w:r>
      <w:r>
        <w:rPr>
          <w:rFonts w:hint="eastAsia" w:ascii="宋体" w:hAnsi="宋体" w:cs="宋体"/>
          <w:b/>
          <w:sz w:val="30"/>
          <w:szCs w:val="30"/>
        </w:rPr>
        <w:t xml:space="preserve">人才培养规格 </w:t>
      </w:r>
      <w:r>
        <w:rPr>
          <w:rFonts w:ascii="宋体" w:hAnsi="宋体" w:cs="宋体"/>
          <w:b/>
          <w:sz w:val="30"/>
          <w:szCs w:val="30"/>
        </w:rPr>
        <w:t xml:space="preserve"> </w:t>
      </w:r>
    </w:p>
    <w:p>
      <w:pPr>
        <w:autoSpaceDE w:val="0"/>
        <w:spacing w:line="360" w:lineRule="auto"/>
        <w:rPr>
          <w:rFonts w:hint="eastAsia" w:ascii="仿宋" w:hAnsi="仿宋" w:eastAsia="仿宋"/>
          <w:sz w:val="30"/>
          <w:szCs w:val="30"/>
          <w:highlight w:val="none"/>
        </w:rPr>
      </w:pPr>
      <w:r>
        <w:rPr>
          <w:rFonts w:hint="eastAsia" w:ascii="仿宋" w:hAnsi="仿宋" w:eastAsia="仿宋"/>
          <w:sz w:val="30"/>
          <w:szCs w:val="30"/>
          <w:highlight w:val="none"/>
        </w:rPr>
        <w:t xml:space="preserve">本专业学生应在系统学习本专业知识并完成有关实习实训基础上，全面提升素质、知识、能力，掌握适应岗位（群）（注：建议依据此次调研结果和以往经验，将中职学生所能适应的主要岗位列出）需要的专业核心技术技能，总体上须达到以下要求。 </w:t>
      </w:r>
    </w:p>
    <w:p>
      <w:pPr>
        <w:autoSpaceDE w:val="0"/>
        <w:spacing w:line="360" w:lineRule="auto"/>
        <w:rPr>
          <w:rFonts w:hint="eastAsia" w:ascii="仿宋" w:hAnsi="仿宋" w:eastAsia="仿宋"/>
          <w:sz w:val="30"/>
          <w:szCs w:val="30"/>
          <w:highlight w:val="none"/>
        </w:rPr>
      </w:pPr>
      <w:r>
        <w:rPr>
          <w:rFonts w:hint="eastAsia" w:ascii="仿宋" w:hAnsi="仿宋" w:eastAsia="仿宋"/>
          <w:sz w:val="30"/>
          <w:szCs w:val="30"/>
          <w:highlight w:val="none"/>
        </w:rPr>
        <w:t xml:space="preserve">（1）坚定拥护中国共产党领导和我国社会主义制度，以习近平新时代中国特色社会主义思想为指导，努力践行社会主义核心价值观，具有深厚的爱国情感和中华民族自豪感； </w:t>
      </w:r>
    </w:p>
    <w:p>
      <w:pPr>
        <w:autoSpaceDE w:val="0"/>
        <w:spacing w:line="360" w:lineRule="auto"/>
        <w:rPr>
          <w:rFonts w:hint="eastAsia" w:ascii="仿宋" w:hAnsi="仿宋" w:eastAsia="仿宋"/>
          <w:sz w:val="30"/>
          <w:szCs w:val="30"/>
          <w:highlight w:val="none"/>
        </w:rPr>
      </w:pPr>
      <w:r>
        <w:rPr>
          <w:rFonts w:hint="eastAsia" w:ascii="仿宋" w:hAnsi="仿宋" w:eastAsia="仿宋"/>
          <w:sz w:val="30"/>
          <w:szCs w:val="30"/>
          <w:highlight w:val="none"/>
        </w:rPr>
        <w:t>（2）能够遵纪守法、崇德向善、诚实守信、自尊自律，履行道德准则和行为规范，具有职业生涯规划能力，具备社会责任感和担当精神；</w:t>
      </w:r>
    </w:p>
    <w:p>
      <w:pPr>
        <w:autoSpaceDE w:val="0"/>
        <w:spacing w:line="360" w:lineRule="auto"/>
        <w:rPr>
          <w:rFonts w:hint="eastAsia" w:ascii="仿宋" w:hAnsi="仿宋" w:eastAsia="仿宋"/>
          <w:sz w:val="30"/>
          <w:szCs w:val="30"/>
          <w:highlight w:val="none"/>
        </w:rPr>
      </w:pPr>
      <w:r>
        <w:rPr>
          <w:rFonts w:hint="eastAsia" w:ascii="仿宋" w:hAnsi="仿宋" w:eastAsia="仿宋"/>
          <w:sz w:val="30"/>
          <w:szCs w:val="30"/>
          <w:highlight w:val="none"/>
        </w:rPr>
        <w:t xml:space="preserve">（3）掌握支撑本专业学习和可持续发展必备的思想政治、语文、历史、数学、外语（英语等）、信息技术、体育与健康、艺术，以及物理、化学等文化基础知识，具有一定的科学素养； </w:t>
      </w:r>
    </w:p>
    <w:p>
      <w:pPr>
        <w:autoSpaceDE w:val="0"/>
        <w:spacing w:line="360" w:lineRule="auto"/>
        <w:rPr>
          <w:rFonts w:hint="eastAsia" w:ascii="仿宋" w:hAnsi="仿宋" w:eastAsia="仿宋"/>
          <w:sz w:val="30"/>
          <w:szCs w:val="30"/>
          <w:highlight w:val="none"/>
        </w:rPr>
      </w:pPr>
      <w:r>
        <w:rPr>
          <w:rFonts w:hint="eastAsia" w:ascii="仿宋" w:hAnsi="仿宋" w:eastAsia="仿宋"/>
          <w:sz w:val="30"/>
          <w:szCs w:val="30"/>
          <w:highlight w:val="none"/>
        </w:rPr>
        <w:t xml:space="preserve">（4）掌握新能源汽车电工电子基本原理及其零部件的检测方法； </w:t>
      </w:r>
    </w:p>
    <w:p>
      <w:pPr>
        <w:autoSpaceDE w:val="0"/>
        <w:spacing w:line="360" w:lineRule="auto"/>
        <w:rPr>
          <w:rFonts w:hint="eastAsia" w:ascii="仿宋" w:hAnsi="仿宋" w:eastAsia="仿宋"/>
          <w:sz w:val="30"/>
          <w:szCs w:val="30"/>
          <w:highlight w:val="none"/>
        </w:rPr>
      </w:pPr>
      <w:r>
        <w:rPr>
          <w:rFonts w:hint="eastAsia" w:ascii="仿宋" w:hAnsi="仿宋" w:eastAsia="仿宋"/>
          <w:sz w:val="30"/>
          <w:szCs w:val="30"/>
          <w:highlight w:val="none"/>
        </w:rPr>
        <w:t xml:space="preserve">（5）了解新能源汽车的机械制造设备的基本原理与基本结构； </w:t>
      </w:r>
    </w:p>
    <w:p>
      <w:pPr>
        <w:autoSpaceDE w:val="0"/>
        <w:spacing w:line="360" w:lineRule="auto"/>
        <w:rPr>
          <w:rFonts w:hint="eastAsia" w:ascii="仿宋" w:hAnsi="仿宋" w:eastAsia="仿宋"/>
          <w:sz w:val="30"/>
          <w:szCs w:val="30"/>
          <w:highlight w:val="none"/>
        </w:rPr>
      </w:pPr>
      <w:r>
        <w:rPr>
          <w:rFonts w:hint="eastAsia" w:ascii="仿宋" w:hAnsi="仿宋" w:eastAsia="仿宋"/>
          <w:sz w:val="30"/>
          <w:szCs w:val="30"/>
          <w:highlight w:val="none"/>
        </w:rPr>
        <w:t>（6）了解新能源汽车动力电池及其管理系统、驱动电机及其控制系统、车身电气系统、充电系统和底盘等总成的基本工作原理及其构造；</w:t>
      </w:r>
    </w:p>
    <w:p>
      <w:pPr>
        <w:autoSpaceDE w:val="0"/>
        <w:spacing w:line="360" w:lineRule="auto"/>
        <w:rPr>
          <w:rFonts w:hint="eastAsia" w:ascii="仿宋" w:hAnsi="仿宋" w:eastAsia="仿宋"/>
          <w:sz w:val="30"/>
          <w:szCs w:val="30"/>
          <w:highlight w:val="none"/>
        </w:rPr>
      </w:pPr>
      <w:r>
        <w:rPr>
          <w:rFonts w:hint="eastAsia" w:ascii="仿宋" w:hAnsi="仿宋" w:eastAsia="仿宋"/>
          <w:sz w:val="30"/>
          <w:szCs w:val="30"/>
          <w:highlight w:val="none"/>
        </w:rPr>
        <w:t xml:space="preserve">（7）了解新能源汽车整车、各部件装配工艺标准流程与零配件检测标准等方面的基础知识； </w:t>
      </w:r>
    </w:p>
    <w:p>
      <w:pPr>
        <w:autoSpaceDE w:val="0"/>
        <w:spacing w:line="360" w:lineRule="auto"/>
        <w:rPr>
          <w:rFonts w:hint="eastAsia" w:ascii="仿宋" w:hAnsi="仿宋" w:eastAsia="仿宋"/>
          <w:sz w:val="30"/>
          <w:szCs w:val="30"/>
          <w:highlight w:val="none"/>
        </w:rPr>
      </w:pPr>
      <w:r>
        <w:rPr>
          <w:rFonts w:hint="eastAsia" w:ascii="仿宋" w:hAnsi="仿宋" w:eastAsia="仿宋"/>
          <w:sz w:val="30"/>
          <w:szCs w:val="30"/>
          <w:highlight w:val="none"/>
        </w:rPr>
        <w:t xml:space="preserve">（8）掌握新能源汽车装配、调试及其质检的常用仪器、工量具、工装设备的使用与维护等技能，具有正确、熟练地使用汽车装配与检修常用工具、量具、工装与相关检测仪器设备的能力； </w:t>
      </w:r>
    </w:p>
    <w:p>
      <w:pPr>
        <w:autoSpaceDE w:val="0"/>
        <w:spacing w:line="360" w:lineRule="auto"/>
        <w:rPr>
          <w:rFonts w:hint="eastAsia" w:ascii="仿宋" w:hAnsi="仿宋" w:eastAsia="仿宋"/>
          <w:sz w:val="30"/>
          <w:szCs w:val="30"/>
          <w:highlight w:val="none"/>
        </w:rPr>
      </w:pPr>
      <w:r>
        <w:rPr>
          <w:rFonts w:hint="eastAsia" w:ascii="仿宋" w:hAnsi="仿宋" w:eastAsia="仿宋"/>
          <w:sz w:val="30"/>
          <w:szCs w:val="30"/>
          <w:highlight w:val="none"/>
        </w:rPr>
        <w:t>（9）能够依据相关规范安全、熟练地对新能源汽车驱动系统、动力电池系统、底盘及其相关控制系统、车身及辅助电气系统、充电桩进行拆装与维护；</w:t>
      </w:r>
    </w:p>
    <w:p>
      <w:pPr>
        <w:autoSpaceDE w:val="0"/>
        <w:spacing w:line="360" w:lineRule="auto"/>
        <w:rPr>
          <w:rFonts w:hint="eastAsia" w:ascii="仿宋" w:hAnsi="仿宋" w:eastAsia="仿宋"/>
          <w:sz w:val="30"/>
          <w:szCs w:val="30"/>
          <w:highlight w:val="none"/>
        </w:rPr>
      </w:pPr>
      <w:r>
        <w:rPr>
          <w:rFonts w:hint="eastAsia" w:ascii="仿宋" w:hAnsi="仿宋" w:eastAsia="仿宋"/>
          <w:sz w:val="30"/>
          <w:szCs w:val="30"/>
          <w:highlight w:val="none"/>
        </w:rPr>
        <w:t xml:space="preserve">（10）能对新能源车载充电系和充电桩统进行维护，按照相关工艺流程完成新能源汽车的总装。 </w:t>
      </w:r>
    </w:p>
    <w:p>
      <w:pPr>
        <w:autoSpaceDE w:val="0"/>
        <w:spacing w:line="360" w:lineRule="auto"/>
        <w:rPr>
          <w:rFonts w:hint="eastAsia" w:ascii="仿宋" w:hAnsi="仿宋" w:eastAsia="仿宋"/>
          <w:sz w:val="30"/>
          <w:szCs w:val="30"/>
          <w:highlight w:val="none"/>
        </w:rPr>
      </w:pPr>
      <w:r>
        <w:rPr>
          <w:rFonts w:hint="eastAsia" w:ascii="仿宋" w:hAnsi="仿宋" w:eastAsia="仿宋"/>
          <w:sz w:val="30"/>
          <w:szCs w:val="30"/>
          <w:highlight w:val="none"/>
        </w:rPr>
        <w:t>（11）熟悉新能源汽车领域相关法律法规，了解新能源汽车产业发展现状与趋势；掌握绿色生产、环境保护、安全等相关知识，具有较强的质量意识、环保意识和安全意识以及一定的创新思维。</w:t>
      </w:r>
    </w:p>
    <w:p>
      <w:pPr>
        <w:autoSpaceDE w:val="0"/>
        <w:spacing w:line="360" w:lineRule="auto"/>
        <w:rPr>
          <w:rFonts w:hint="eastAsia" w:ascii="仿宋" w:hAnsi="仿宋" w:eastAsia="仿宋"/>
          <w:sz w:val="30"/>
          <w:szCs w:val="30"/>
          <w:highlight w:val="none"/>
        </w:rPr>
      </w:pPr>
      <w:r>
        <w:rPr>
          <w:rFonts w:hint="eastAsia" w:ascii="仿宋" w:hAnsi="仿宋" w:eastAsia="仿宋"/>
          <w:sz w:val="30"/>
          <w:szCs w:val="30"/>
          <w:highlight w:val="none"/>
        </w:rPr>
        <w:t xml:space="preserve">（12）掌握必备的信息技术知识，具备一定的信息素养，初步掌握新能源汽车领域数字化技能，能够适应新能源汽车产业数字化发展新需求； </w:t>
      </w:r>
    </w:p>
    <w:p>
      <w:pPr>
        <w:autoSpaceDE w:val="0"/>
        <w:spacing w:line="360" w:lineRule="auto"/>
        <w:rPr>
          <w:rFonts w:hint="eastAsia" w:ascii="仿宋" w:hAnsi="仿宋" w:eastAsia="仿宋"/>
          <w:sz w:val="30"/>
          <w:szCs w:val="30"/>
          <w:highlight w:val="none"/>
        </w:rPr>
      </w:pPr>
      <w:r>
        <w:rPr>
          <w:rFonts w:hint="eastAsia" w:ascii="仿宋" w:hAnsi="仿宋" w:eastAsia="仿宋"/>
          <w:sz w:val="30"/>
          <w:szCs w:val="30"/>
          <w:highlight w:val="none"/>
        </w:rPr>
        <w:t xml:space="preserve">（13）具有良好的语言与文字表达能力以及沟通能力，具有较强的集体意识和团队合作能力； </w:t>
      </w:r>
    </w:p>
    <w:p>
      <w:pPr>
        <w:autoSpaceDE w:val="0"/>
        <w:spacing w:line="360" w:lineRule="auto"/>
        <w:rPr>
          <w:rFonts w:hint="eastAsia" w:ascii="仿宋" w:hAnsi="仿宋" w:eastAsia="仿宋"/>
          <w:sz w:val="30"/>
          <w:szCs w:val="30"/>
          <w:highlight w:val="none"/>
        </w:rPr>
      </w:pPr>
      <w:r>
        <w:rPr>
          <w:rFonts w:hint="eastAsia" w:ascii="仿宋" w:hAnsi="仿宋" w:eastAsia="仿宋"/>
          <w:sz w:val="30"/>
          <w:szCs w:val="30"/>
          <w:highlight w:val="none"/>
        </w:rPr>
        <w:t>（14）具有探究学习、终身学习能力，自学新能源汽车新技术、新材料、新规范能力与创新精神，具有一定的分析问题和解决问题的能力；</w:t>
      </w:r>
    </w:p>
    <w:p>
      <w:pPr>
        <w:autoSpaceDE w:val="0"/>
        <w:spacing w:line="360" w:lineRule="auto"/>
        <w:rPr>
          <w:rFonts w:hint="eastAsia" w:ascii="仿宋" w:hAnsi="仿宋" w:eastAsia="仿宋"/>
          <w:sz w:val="30"/>
          <w:szCs w:val="30"/>
          <w:highlight w:val="none"/>
        </w:rPr>
      </w:pPr>
      <w:r>
        <w:rPr>
          <w:rFonts w:hint="eastAsia" w:ascii="仿宋" w:hAnsi="仿宋" w:eastAsia="仿宋"/>
          <w:sz w:val="30"/>
          <w:szCs w:val="30"/>
          <w:highlight w:val="none"/>
        </w:rPr>
        <w:t xml:space="preserve">（15）具有健康的体魄、心理和健全的人格，养成良好的运动习惯、卫生习惯和行为习惯； </w:t>
      </w:r>
    </w:p>
    <w:p>
      <w:pPr>
        <w:autoSpaceDE w:val="0"/>
        <w:spacing w:line="360" w:lineRule="auto"/>
        <w:rPr>
          <w:rFonts w:hint="eastAsia" w:ascii="仿宋" w:hAnsi="仿宋" w:eastAsia="仿宋"/>
          <w:sz w:val="30"/>
          <w:szCs w:val="30"/>
          <w:highlight w:val="none"/>
        </w:rPr>
      </w:pPr>
      <w:r>
        <w:rPr>
          <w:rFonts w:hint="eastAsia" w:ascii="仿宋" w:hAnsi="仿宋" w:eastAsia="仿宋"/>
          <w:sz w:val="30"/>
          <w:szCs w:val="30"/>
          <w:highlight w:val="none"/>
        </w:rPr>
        <w:t xml:space="preserve">（16）掌握必备的美育知识，参与有关艺术活动，具有一定的审美能力和人文素养； </w:t>
      </w:r>
    </w:p>
    <w:p>
      <w:pPr>
        <w:autoSpaceDE w:val="0"/>
        <w:spacing w:line="360" w:lineRule="auto"/>
        <w:rPr>
          <w:rFonts w:hint="eastAsia" w:ascii="仿宋" w:hAnsi="仿宋" w:eastAsia="仿宋"/>
          <w:sz w:val="30"/>
          <w:szCs w:val="30"/>
          <w:highlight w:val="none"/>
        </w:rPr>
      </w:pPr>
      <w:r>
        <w:rPr>
          <w:rFonts w:hint="eastAsia" w:ascii="仿宋" w:hAnsi="仿宋" w:eastAsia="仿宋"/>
          <w:sz w:val="30"/>
          <w:szCs w:val="30"/>
          <w:highlight w:val="none"/>
        </w:rPr>
        <w:t xml:space="preserve">（17）具有正确的劳动观念，热爱劳动，具有热爱劳动人民的情 </w:t>
      </w:r>
    </w:p>
    <w:p>
      <w:pPr>
        <w:autoSpaceDE w:val="0"/>
        <w:spacing w:line="360" w:lineRule="auto"/>
        <w:rPr>
          <w:rFonts w:hint="eastAsia" w:ascii="仿宋" w:hAnsi="仿宋" w:eastAsia="仿宋"/>
          <w:sz w:val="30"/>
          <w:szCs w:val="30"/>
          <w:highlight w:val="none"/>
        </w:rPr>
      </w:pPr>
      <w:r>
        <w:rPr>
          <w:rFonts w:hint="eastAsia" w:ascii="仿宋" w:hAnsi="仿宋" w:eastAsia="仿宋"/>
          <w:sz w:val="30"/>
          <w:szCs w:val="30"/>
          <w:highlight w:val="none"/>
        </w:rPr>
        <w:t>感，树立和弘扬劳动精神，具有精益求精的工匠精神，具有一定的劳动素养。</w:t>
      </w:r>
    </w:p>
    <w:p>
      <w:pPr>
        <w:autoSpaceDE w:val="0"/>
        <w:spacing w:line="360" w:lineRule="auto"/>
        <w:rPr>
          <w:rFonts w:hint="eastAsia" w:ascii="仿宋" w:hAnsi="仿宋" w:eastAsia="仿宋"/>
          <w:sz w:val="30"/>
          <w:szCs w:val="30"/>
          <w:highlight w:val="none"/>
        </w:rPr>
      </w:pPr>
      <w:r>
        <w:rPr>
          <w:rFonts w:hint="eastAsia" w:ascii="仿宋" w:hAnsi="仿宋" w:eastAsia="仿宋"/>
          <w:sz w:val="30"/>
          <w:szCs w:val="30"/>
          <w:highlight w:val="none"/>
        </w:rPr>
        <w:t xml:space="preserve">（18）具有吃苦耐劳、专业专注、敬业乐业的工作作风和精益求精的工匠精神。 </w:t>
      </w:r>
    </w:p>
    <w:p>
      <w:pPr>
        <w:autoSpaceDE w:val="0"/>
        <w:spacing w:line="360" w:lineRule="auto"/>
        <w:rPr>
          <w:rFonts w:hint="eastAsia" w:ascii="仿宋" w:hAnsi="仿宋" w:eastAsia="仿宋"/>
          <w:sz w:val="30"/>
          <w:szCs w:val="30"/>
          <w:highlight w:val="none"/>
        </w:rPr>
      </w:pPr>
      <w:r>
        <w:rPr>
          <w:rFonts w:hint="eastAsia" w:ascii="仿宋" w:hAnsi="仿宋" w:eastAsia="仿宋"/>
          <w:sz w:val="30"/>
          <w:szCs w:val="30"/>
          <w:highlight w:val="none"/>
          <w:lang w:eastAsia="zh-CN"/>
        </w:rPr>
        <w:t>四</w:t>
      </w:r>
      <w:r>
        <w:rPr>
          <w:rFonts w:hint="eastAsia" w:ascii="仿宋" w:hAnsi="仿宋" w:eastAsia="仿宋"/>
          <w:sz w:val="30"/>
          <w:szCs w:val="30"/>
          <w:highlight w:val="none"/>
        </w:rPr>
        <w:t>、课程体系</w:t>
      </w:r>
    </w:p>
    <w:tbl>
      <w:tblPr>
        <w:tblStyle w:val="13"/>
        <w:tblW w:w="9049" w:type="dxa"/>
        <w:tblInd w:w="-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32"/>
        <w:gridCol w:w="960"/>
        <w:gridCol w:w="61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1932"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类别</w:t>
            </w:r>
          </w:p>
        </w:tc>
        <w:tc>
          <w:tcPr>
            <w:tcW w:w="960"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序号</w:t>
            </w:r>
          </w:p>
        </w:tc>
        <w:tc>
          <w:tcPr>
            <w:tcW w:w="6156"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课程名称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trPr>
        <w:tc>
          <w:tcPr>
            <w:tcW w:w="0" w:type="auto"/>
            <w:vMerge w:val="restart"/>
            <w:tcBorders>
              <w:top w:val="nil"/>
              <w:left w:val="single" w:color="000000" w:sz="8" w:space="0"/>
              <w:bottom w:val="nil"/>
              <w:right w:val="single" w:color="000000" w:sz="8"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公共必修课程</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1</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中国特色社会主义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0" w:type="auto"/>
            <w:vMerge w:val="continue"/>
            <w:tcBorders>
              <w:top w:val="nil"/>
              <w:left w:val="single" w:color="000000" w:sz="8" w:space="0"/>
              <w:bottom w:val="nil"/>
              <w:right w:val="single" w:color="000000" w:sz="8" w:space="0"/>
            </w:tcBorders>
            <w:noWrap/>
            <w:vAlign w:val="center"/>
          </w:tcPr>
          <w:p>
            <w:pPr>
              <w:jc w:val="center"/>
              <w:rPr>
                <w:rFonts w:hint="default" w:ascii="仿宋_GB2312" w:hAnsi="宋体" w:eastAsia="仿宋_GB2312" w:cs="仿宋_GB2312"/>
                <w:i w:val="0"/>
                <w:iCs w:val="0"/>
                <w:color w:val="000000"/>
                <w:sz w:val="28"/>
                <w:szCs w:val="28"/>
                <w:u w:val="none"/>
              </w:rPr>
            </w:pP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2</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心理健康与职业生涯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0" w:type="auto"/>
            <w:vMerge w:val="continue"/>
            <w:tcBorders>
              <w:top w:val="nil"/>
              <w:left w:val="single" w:color="000000" w:sz="8" w:space="0"/>
              <w:bottom w:val="nil"/>
              <w:right w:val="single" w:color="000000" w:sz="8" w:space="0"/>
            </w:tcBorders>
            <w:noWrap/>
            <w:vAlign w:val="center"/>
          </w:tcPr>
          <w:p>
            <w:pPr>
              <w:jc w:val="center"/>
              <w:rPr>
                <w:rFonts w:hint="default" w:ascii="仿宋_GB2312" w:hAnsi="宋体" w:eastAsia="仿宋_GB2312" w:cs="仿宋_GB2312"/>
                <w:i w:val="0"/>
                <w:iCs w:val="0"/>
                <w:color w:val="000000"/>
                <w:sz w:val="28"/>
                <w:szCs w:val="28"/>
                <w:u w:val="none"/>
              </w:rPr>
            </w:pP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3</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哲学与人生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0" w:type="auto"/>
            <w:vMerge w:val="continue"/>
            <w:tcBorders>
              <w:top w:val="nil"/>
              <w:left w:val="single" w:color="000000" w:sz="8" w:space="0"/>
              <w:bottom w:val="nil"/>
              <w:right w:val="single" w:color="000000" w:sz="8" w:space="0"/>
            </w:tcBorders>
            <w:noWrap/>
            <w:vAlign w:val="center"/>
          </w:tcPr>
          <w:p>
            <w:pPr>
              <w:jc w:val="center"/>
              <w:rPr>
                <w:rFonts w:hint="default" w:ascii="仿宋_GB2312" w:hAnsi="宋体" w:eastAsia="仿宋_GB2312" w:cs="仿宋_GB2312"/>
                <w:i w:val="0"/>
                <w:iCs w:val="0"/>
                <w:color w:val="000000"/>
                <w:sz w:val="28"/>
                <w:szCs w:val="28"/>
                <w:u w:val="none"/>
              </w:rPr>
            </w:pP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4</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职业道德与法治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0" w:type="auto"/>
            <w:vMerge w:val="continue"/>
            <w:tcBorders>
              <w:top w:val="nil"/>
              <w:left w:val="single" w:color="000000" w:sz="8" w:space="0"/>
              <w:bottom w:val="nil"/>
              <w:right w:val="single" w:color="000000" w:sz="8" w:space="0"/>
            </w:tcBorders>
            <w:noWrap/>
            <w:vAlign w:val="center"/>
          </w:tcPr>
          <w:p>
            <w:pPr>
              <w:jc w:val="center"/>
              <w:rPr>
                <w:rFonts w:hint="default" w:ascii="仿宋_GB2312" w:hAnsi="宋体" w:eastAsia="仿宋_GB2312" w:cs="仿宋_GB2312"/>
                <w:i w:val="0"/>
                <w:iCs w:val="0"/>
                <w:color w:val="000000"/>
                <w:sz w:val="28"/>
                <w:szCs w:val="28"/>
                <w:u w:val="none"/>
              </w:rPr>
            </w:pP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5</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历史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0" w:type="auto"/>
            <w:vMerge w:val="continue"/>
            <w:tcBorders>
              <w:top w:val="nil"/>
              <w:left w:val="single" w:color="000000" w:sz="8" w:space="0"/>
              <w:bottom w:val="nil"/>
              <w:right w:val="single" w:color="000000" w:sz="8" w:space="0"/>
            </w:tcBorders>
            <w:noWrap/>
            <w:vAlign w:val="center"/>
          </w:tcPr>
          <w:p>
            <w:pPr>
              <w:jc w:val="center"/>
              <w:rPr>
                <w:rFonts w:hint="default" w:ascii="仿宋_GB2312" w:hAnsi="宋体" w:eastAsia="仿宋_GB2312" w:cs="仿宋_GB2312"/>
                <w:i w:val="0"/>
                <w:iCs w:val="0"/>
                <w:color w:val="000000"/>
                <w:sz w:val="28"/>
                <w:szCs w:val="28"/>
                <w:u w:val="none"/>
              </w:rPr>
            </w:pP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6</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体育与健康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0" w:type="auto"/>
            <w:vMerge w:val="continue"/>
            <w:tcBorders>
              <w:top w:val="nil"/>
              <w:left w:val="single" w:color="000000" w:sz="8" w:space="0"/>
              <w:bottom w:val="nil"/>
              <w:right w:val="single" w:color="000000" w:sz="8" w:space="0"/>
            </w:tcBorders>
            <w:noWrap/>
            <w:vAlign w:val="center"/>
          </w:tcPr>
          <w:p>
            <w:pPr>
              <w:jc w:val="center"/>
              <w:rPr>
                <w:rFonts w:hint="default" w:ascii="仿宋_GB2312" w:hAnsi="宋体" w:eastAsia="仿宋_GB2312" w:cs="仿宋_GB2312"/>
                <w:i w:val="0"/>
                <w:iCs w:val="0"/>
                <w:color w:val="000000"/>
                <w:sz w:val="28"/>
                <w:szCs w:val="28"/>
                <w:u w:val="none"/>
              </w:rPr>
            </w:pP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7</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0" w:type="auto"/>
            <w:vMerge w:val="continue"/>
            <w:tcBorders>
              <w:top w:val="nil"/>
              <w:left w:val="single" w:color="000000" w:sz="8" w:space="0"/>
              <w:bottom w:val="nil"/>
              <w:right w:val="single" w:color="000000" w:sz="8" w:space="0"/>
            </w:tcBorders>
            <w:noWrap/>
            <w:vAlign w:val="center"/>
          </w:tcPr>
          <w:p>
            <w:pPr>
              <w:jc w:val="center"/>
              <w:rPr>
                <w:rFonts w:hint="default" w:ascii="仿宋_GB2312" w:hAnsi="宋体" w:eastAsia="仿宋_GB2312" w:cs="仿宋_GB2312"/>
                <w:i w:val="0"/>
                <w:iCs w:val="0"/>
                <w:color w:val="000000"/>
                <w:sz w:val="28"/>
                <w:szCs w:val="28"/>
                <w:u w:val="none"/>
              </w:rPr>
            </w:pP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8</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0" w:type="auto"/>
            <w:vMerge w:val="continue"/>
            <w:tcBorders>
              <w:top w:val="nil"/>
              <w:left w:val="single" w:color="000000" w:sz="8" w:space="0"/>
              <w:bottom w:val="nil"/>
              <w:right w:val="single" w:color="000000" w:sz="8" w:space="0"/>
            </w:tcBorders>
            <w:noWrap/>
            <w:vAlign w:val="center"/>
          </w:tcPr>
          <w:p>
            <w:pPr>
              <w:jc w:val="center"/>
              <w:rPr>
                <w:rFonts w:hint="default" w:ascii="仿宋_GB2312" w:hAnsi="宋体" w:eastAsia="仿宋_GB2312" w:cs="仿宋_GB2312"/>
                <w:i w:val="0"/>
                <w:iCs w:val="0"/>
                <w:color w:val="000000"/>
                <w:sz w:val="28"/>
                <w:szCs w:val="28"/>
                <w:u w:val="none"/>
              </w:rPr>
            </w:pP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9</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0" w:type="auto"/>
            <w:vMerge w:val="continue"/>
            <w:tcBorders>
              <w:top w:val="nil"/>
              <w:left w:val="single" w:color="000000" w:sz="8" w:space="0"/>
              <w:bottom w:val="nil"/>
              <w:right w:val="single" w:color="000000" w:sz="8" w:space="0"/>
            </w:tcBorders>
            <w:noWrap/>
            <w:vAlign w:val="center"/>
          </w:tcPr>
          <w:p>
            <w:pPr>
              <w:jc w:val="center"/>
              <w:rPr>
                <w:rFonts w:hint="default" w:ascii="仿宋_GB2312" w:hAnsi="宋体" w:eastAsia="仿宋_GB2312" w:cs="仿宋_GB2312"/>
                <w:i w:val="0"/>
                <w:iCs w:val="0"/>
                <w:color w:val="000000"/>
                <w:sz w:val="28"/>
                <w:szCs w:val="28"/>
                <w:u w:val="none"/>
              </w:rPr>
            </w:pP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10</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公共艺术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0" w:type="auto"/>
            <w:vMerge w:val="continue"/>
            <w:tcBorders>
              <w:top w:val="nil"/>
              <w:left w:val="single" w:color="000000" w:sz="8" w:space="0"/>
              <w:bottom w:val="nil"/>
              <w:right w:val="single" w:color="000000" w:sz="8" w:space="0"/>
            </w:tcBorders>
            <w:noWrap/>
            <w:vAlign w:val="center"/>
          </w:tcPr>
          <w:p>
            <w:pPr>
              <w:jc w:val="center"/>
              <w:rPr>
                <w:rFonts w:hint="default" w:ascii="仿宋_GB2312" w:hAnsi="宋体" w:eastAsia="仿宋_GB2312" w:cs="仿宋_GB2312"/>
                <w:i w:val="0"/>
                <w:iCs w:val="0"/>
                <w:color w:val="000000"/>
                <w:sz w:val="28"/>
                <w:szCs w:val="28"/>
                <w:u w:val="none"/>
              </w:rPr>
            </w:pP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11</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创新创业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0" w:type="auto"/>
            <w:vMerge w:val="continue"/>
            <w:tcBorders>
              <w:top w:val="nil"/>
              <w:left w:val="single" w:color="000000" w:sz="8" w:space="0"/>
              <w:bottom w:val="single" w:color="auto" w:sz="4" w:space="0"/>
              <w:right w:val="single" w:color="000000" w:sz="8" w:space="0"/>
            </w:tcBorders>
            <w:noWrap/>
            <w:vAlign w:val="center"/>
          </w:tcPr>
          <w:p>
            <w:pPr>
              <w:jc w:val="center"/>
              <w:rPr>
                <w:rFonts w:hint="default" w:ascii="仿宋_GB2312" w:hAnsi="宋体" w:eastAsia="仿宋_GB2312" w:cs="仿宋_GB2312"/>
                <w:i w:val="0"/>
                <w:iCs w:val="0"/>
                <w:color w:val="000000"/>
                <w:sz w:val="28"/>
                <w:szCs w:val="28"/>
                <w:u w:val="none"/>
              </w:rPr>
            </w:pP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12</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vMerge w:val="restart"/>
            <w:tcBorders>
              <w:top w:val="single" w:color="auto" w:sz="4"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专业核心课程</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汽车机械基础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vMerge w:val="continue"/>
            <w:tcBorders>
              <w:top w:val="nil"/>
              <w:left w:val="single" w:color="000000" w:sz="8" w:space="0"/>
              <w:bottom w:val="single" w:color="000000" w:sz="8" w:space="0"/>
              <w:right w:val="single" w:color="000000" w:sz="8" w:space="0"/>
            </w:tcBorders>
            <w:noWrap/>
            <w:vAlign w:val="center"/>
          </w:tcPr>
          <w:p>
            <w:pPr>
              <w:jc w:val="center"/>
              <w:rPr>
                <w:rFonts w:hint="default" w:ascii="仿宋_GB2312" w:hAnsi="宋体" w:eastAsia="仿宋_GB2312" w:cs="仿宋_GB2312"/>
                <w:i w:val="0"/>
                <w:iCs w:val="0"/>
                <w:color w:val="000000"/>
                <w:sz w:val="28"/>
                <w:szCs w:val="28"/>
                <w:u w:val="none"/>
              </w:rPr>
            </w:pP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汽车机械识图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vMerge w:val="continue"/>
            <w:tcBorders>
              <w:top w:val="nil"/>
              <w:left w:val="single" w:color="000000" w:sz="8" w:space="0"/>
              <w:bottom w:val="single" w:color="000000" w:sz="8" w:space="0"/>
              <w:right w:val="single" w:color="000000" w:sz="8" w:space="0"/>
            </w:tcBorders>
            <w:noWrap/>
            <w:vAlign w:val="center"/>
          </w:tcPr>
          <w:p>
            <w:pPr>
              <w:jc w:val="center"/>
              <w:rPr>
                <w:rFonts w:hint="default" w:ascii="仿宋_GB2312" w:hAnsi="宋体" w:eastAsia="仿宋_GB2312" w:cs="仿宋_GB2312"/>
                <w:i w:val="0"/>
                <w:iCs w:val="0"/>
                <w:color w:val="000000"/>
                <w:sz w:val="28"/>
                <w:szCs w:val="28"/>
                <w:u w:val="none"/>
              </w:rPr>
            </w:pP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电工基础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vMerge w:val="continue"/>
            <w:tcBorders>
              <w:top w:val="nil"/>
              <w:left w:val="single" w:color="000000" w:sz="8" w:space="0"/>
              <w:bottom w:val="single" w:color="000000" w:sz="8" w:space="0"/>
              <w:right w:val="single" w:color="000000" w:sz="8" w:space="0"/>
            </w:tcBorders>
            <w:noWrap/>
            <w:vAlign w:val="center"/>
          </w:tcPr>
          <w:p>
            <w:pPr>
              <w:jc w:val="center"/>
              <w:rPr>
                <w:rFonts w:hint="default" w:ascii="仿宋_GB2312" w:hAnsi="宋体" w:eastAsia="仿宋_GB2312" w:cs="仿宋_GB2312"/>
                <w:i w:val="0"/>
                <w:iCs w:val="0"/>
                <w:color w:val="000000"/>
                <w:sz w:val="28"/>
                <w:szCs w:val="28"/>
                <w:u w:val="none"/>
              </w:rPr>
            </w:pP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4</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新能源汽车认识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vMerge w:val="continue"/>
            <w:tcBorders>
              <w:top w:val="nil"/>
              <w:left w:val="single" w:color="000000" w:sz="8" w:space="0"/>
              <w:bottom w:val="single" w:color="000000" w:sz="8" w:space="0"/>
              <w:right w:val="single" w:color="000000" w:sz="8" w:space="0"/>
            </w:tcBorders>
            <w:noWrap/>
            <w:vAlign w:val="center"/>
          </w:tcPr>
          <w:p>
            <w:pPr>
              <w:jc w:val="center"/>
              <w:rPr>
                <w:rFonts w:hint="default" w:ascii="仿宋_GB2312" w:hAnsi="宋体" w:eastAsia="仿宋_GB2312" w:cs="仿宋_GB2312"/>
                <w:i w:val="0"/>
                <w:iCs w:val="0"/>
                <w:color w:val="000000"/>
                <w:sz w:val="28"/>
                <w:szCs w:val="28"/>
                <w:u w:val="none"/>
              </w:rPr>
            </w:pP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5</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新能源汽车电气构造与检修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vMerge w:val="continue"/>
            <w:tcBorders>
              <w:top w:val="nil"/>
              <w:left w:val="single" w:color="000000" w:sz="8" w:space="0"/>
              <w:bottom w:val="single" w:color="000000" w:sz="8" w:space="0"/>
              <w:right w:val="single" w:color="000000" w:sz="8" w:space="0"/>
            </w:tcBorders>
            <w:noWrap/>
            <w:vAlign w:val="center"/>
          </w:tcPr>
          <w:p>
            <w:pPr>
              <w:jc w:val="center"/>
              <w:rPr>
                <w:rFonts w:hint="default" w:ascii="仿宋_GB2312" w:hAnsi="宋体" w:eastAsia="仿宋_GB2312" w:cs="仿宋_GB2312"/>
                <w:i w:val="0"/>
                <w:iCs w:val="0"/>
                <w:color w:val="000000"/>
                <w:sz w:val="28"/>
                <w:szCs w:val="28"/>
                <w:u w:val="none"/>
              </w:rPr>
            </w:pP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6</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新能源汽车结构与拆装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vMerge w:val="continue"/>
            <w:tcBorders>
              <w:top w:val="nil"/>
              <w:left w:val="single" w:color="000000" w:sz="8" w:space="0"/>
              <w:bottom w:val="single" w:color="000000" w:sz="8" w:space="0"/>
              <w:right w:val="single" w:color="000000" w:sz="8" w:space="0"/>
            </w:tcBorders>
            <w:noWrap/>
            <w:vAlign w:val="center"/>
          </w:tcPr>
          <w:p>
            <w:pPr>
              <w:jc w:val="center"/>
              <w:rPr>
                <w:rFonts w:hint="default" w:ascii="仿宋_GB2312" w:hAnsi="宋体" w:eastAsia="仿宋_GB2312" w:cs="仿宋_GB2312"/>
                <w:i w:val="0"/>
                <w:iCs w:val="0"/>
                <w:color w:val="000000"/>
                <w:sz w:val="28"/>
                <w:szCs w:val="28"/>
                <w:u w:val="none"/>
              </w:rPr>
            </w:pP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7</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电动汽车动力电池拆装与维护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vMerge w:val="restart"/>
            <w:tcBorders>
              <w:top w:val="nil"/>
              <w:left w:val="single" w:color="000000" w:sz="8" w:space="0"/>
              <w:bottom w:val="nil"/>
              <w:right w:val="single" w:color="000000" w:sz="8"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专业课程</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vMerge w:val="continue"/>
            <w:tcBorders>
              <w:top w:val="nil"/>
              <w:left w:val="single" w:color="000000" w:sz="8" w:space="0"/>
              <w:bottom w:val="nil"/>
              <w:right w:val="single" w:color="000000" w:sz="8" w:space="0"/>
            </w:tcBorders>
            <w:noWrap/>
            <w:vAlign w:val="center"/>
          </w:tcPr>
          <w:p>
            <w:pPr>
              <w:jc w:val="center"/>
              <w:rPr>
                <w:rFonts w:hint="default" w:ascii="仿宋_GB2312" w:hAnsi="宋体" w:eastAsia="仿宋_GB2312" w:cs="仿宋_GB2312"/>
                <w:i w:val="0"/>
                <w:iCs w:val="0"/>
                <w:color w:val="000000"/>
                <w:sz w:val="28"/>
                <w:szCs w:val="28"/>
                <w:u w:val="none"/>
              </w:rPr>
            </w:pP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电动汽车充电系统装配与维护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vMerge w:val="continue"/>
            <w:tcBorders>
              <w:top w:val="nil"/>
              <w:left w:val="single" w:color="000000" w:sz="8" w:space="0"/>
              <w:bottom w:val="single" w:color="auto" w:sz="4" w:space="0"/>
              <w:right w:val="single" w:color="000000" w:sz="8" w:space="0"/>
            </w:tcBorders>
            <w:noWrap/>
            <w:vAlign w:val="center"/>
          </w:tcPr>
          <w:p>
            <w:pPr>
              <w:jc w:val="center"/>
              <w:rPr>
                <w:rFonts w:hint="default" w:ascii="仿宋_GB2312" w:hAnsi="宋体" w:eastAsia="仿宋_GB2312" w:cs="仿宋_GB2312"/>
                <w:i w:val="0"/>
                <w:iCs w:val="0"/>
                <w:color w:val="000000"/>
                <w:sz w:val="28"/>
                <w:szCs w:val="28"/>
                <w:u w:val="none"/>
              </w:rPr>
            </w:pP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北汽新能源汽车方向模块化课程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vMerge w:val="restart"/>
            <w:tcBorders>
              <w:top w:val="single" w:color="auto" w:sz="4" w:space="0"/>
              <w:left w:val="single" w:color="000000" w:sz="8" w:space="0"/>
              <w:bottom w:val="single" w:color="auto" w:sz="4" w:space="0"/>
              <w:right w:val="single" w:color="000000" w:sz="8"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选修课程</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心理健康教育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vMerge w:val="continue"/>
            <w:tcBorders>
              <w:top w:val="single" w:color="auto" w:sz="4" w:space="0"/>
              <w:left w:val="single" w:color="000000" w:sz="8" w:space="0"/>
              <w:bottom w:val="single" w:color="auto" w:sz="4" w:space="0"/>
              <w:right w:val="single" w:color="000000" w:sz="8" w:space="0"/>
            </w:tcBorders>
            <w:noWrap/>
            <w:vAlign w:val="center"/>
          </w:tcPr>
          <w:p>
            <w:pPr>
              <w:jc w:val="center"/>
              <w:rPr>
                <w:rFonts w:hint="default" w:ascii="仿宋_GB2312" w:hAnsi="宋体" w:eastAsia="仿宋_GB2312" w:cs="仿宋_GB2312"/>
                <w:i w:val="0"/>
                <w:iCs w:val="0"/>
                <w:color w:val="000000"/>
                <w:sz w:val="28"/>
                <w:szCs w:val="28"/>
                <w:u w:val="none"/>
              </w:rPr>
            </w:pP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社交礼仪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vMerge w:val="continue"/>
            <w:tcBorders>
              <w:top w:val="single" w:color="auto" w:sz="4" w:space="0"/>
              <w:left w:val="single" w:color="000000" w:sz="8" w:space="0"/>
              <w:bottom w:val="single" w:color="auto" w:sz="4" w:space="0"/>
              <w:right w:val="single" w:color="000000" w:sz="8" w:space="0"/>
            </w:tcBorders>
            <w:noWrap/>
            <w:vAlign w:val="center"/>
          </w:tcPr>
          <w:p>
            <w:pPr>
              <w:jc w:val="center"/>
              <w:rPr>
                <w:rFonts w:hint="default" w:ascii="仿宋_GB2312" w:hAnsi="宋体" w:eastAsia="仿宋_GB2312" w:cs="仿宋_GB2312"/>
                <w:i w:val="0"/>
                <w:iCs w:val="0"/>
                <w:color w:val="000000"/>
                <w:sz w:val="28"/>
                <w:szCs w:val="28"/>
                <w:u w:val="none"/>
              </w:rPr>
            </w:pP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安全教育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vMerge w:val="continue"/>
            <w:tcBorders>
              <w:top w:val="single" w:color="auto" w:sz="4" w:space="0"/>
              <w:left w:val="single" w:color="000000" w:sz="8" w:space="0"/>
              <w:bottom w:val="single" w:color="auto" w:sz="4" w:space="0"/>
              <w:right w:val="single" w:color="000000" w:sz="8" w:space="0"/>
            </w:tcBorders>
            <w:noWrap/>
            <w:vAlign w:val="center"/>
          </w:tcPr>
          <w:p>
            <w:pPr>
              <w:jc w:val="center"/>
              <w:rPr>
                <w:rFonts w:hint="default" w:ascii="仿宋_GB2312" w:hAnsi="宋体" w:eastAsia="仿宋_GB2312" w:cs="仿宋_GB2312"/>
                <w:i w:val="0"/>
                <w:iCs w:val="0"/>
                <w:color w:val="000000"/>
                <w:sz w:val="28"/>
                <w:szCs w:val="28"/>
                <w:u w:val="none"/>
              </w:rPr>
            </w:pP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4</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文学欣赏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vMerge w:val="restart"/>
            <w:tcBorders>
              <w:top w:val="single" w:color="auto" w:sz="4" w:space="0"/>
              <w:left w:val="single" w:color="000000" w:sz="8" w:space="0"/>
              <w:bottom w:val="single" w:color="auto" w:sz="4" w:space="0"/>
              <w:right w:val="single" w:color="000000" w:sz="8"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技能实训课程</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汽车机械基础专项实训（钳工实习）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vMerge w:val="continue"/>
            <w:tcBorders>
              <w:top w:val="single" w:color="auto" w:sz="4" w:space="0"/>
              <w:left w:val="single" w:color="000000" w:sz="8" w:space="0"/>
              <w:bottom w:val="single" w:color="auto" w:sz="4" w:space="0"/>
              <w:right w:val="single" w:color="000000" w:sz="8" w:space="0"/>
            </w:tcBorders>
            <w:noWrap/>
            <w:vAlign w:val="center"/>
          </w:tcPr>
          <w:p>
            <w:pPr>
              <w:jc w:val="center"/>
              <w:rPr>
                <w:rFonts w:hint="default" w:ascii="仿宋_GB2312" w:hAnsi="宋体" w:eastAsia="仿宋_GB2312" w:cs="仿宋_GB2312"/>
                <w:i w:val="0"/>
                <w:iCs w:val="0"/>
                <w:color w:val="000000"/>
                <w:sz w:val="28"/>
                <w:szCs w:val="28"/>
                <w:u w:val="none"/>
              </w:rPr>
            </w:pP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电工基础专项实训（电工实习）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vMerge w:val="continue"/>
            <w:tcBorders>
              <w:top w:val="single" w:color="auto" w:sz="4" w:space="0"/>
              <w:left w:val="single" w:color="000000" w:sz="8" w:space="0"/>
              <w:bottom w:val="single" w:color="auto" w:sz="4" w:space="0"/>
              <w:right w:val="single" w:color="000000" w:sz="8" w:space="0"/>
            </w:tcBorders>
            <w:noWrap/>
            <w:vAlign w:val="center"/>
          </w:tcPr>
          <w:p>
            <w:pPr>
              <w:jc w:val="center"/>
              <w:rPr>
                <w:rFonts w:hint="default" w:ascii="仿宋_GB2312" w:hAnsi="宋体" w:eastAsia="仿宋_GB2312" w:cs="仿宋_GB2312"/>
                <w:i w:val="0"/>
                <w:iCs w:val="0"/>
                <w:color w:val="000000"/>
                <w:sz w:val="28"/>
                <w:szCs w:val="28"/>
                <w:u w:val="none"/>
              </w:rPr>
            </w:pP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新能源汽车电气构造与检修专项实训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vMerge w:val="continue"/>
            <w:tcBorders>
              <w:top w:val="single" w:color="auto" w:sz="4" w:space="0"/>
              <w:left w:val="single" w:color="000000" w:sz="8" w:space="0"/>
              <w:bottom w:val="single" w:color="auto" w:sz="4" w:space="0"/>
              <w:right w:val="single" w:color="000000" w:sz="8" w:space="0"/>
            </w:tcBorders>
            <w:noWrap/>
            <w:vAlign w:val="center"/>
          </w:tcPr>
          <w:p>
            <w:pPr>
              <w:jc w:val="center"/>
              <w:rPr>
                <w:rFonts w:hint="default" w:ascii="仿宋_GB2312" w:hAnsi="宋体" w:eastAsia="仿宋_GB2312" w:cs="仿宋_GB2312"/>
                <w:i w:val="0"/>
                <w:iCs w:val="0"/>
                <w:color w:val="000000"/>
                <w:sz w:val="28"/>
                <w:szCs w:val="28"/>
                <w:u w:val="none"/>
              </w:rPr>
            </w:pP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4</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新能源汽车机构与拆装转专项实训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trPr>
        <w:tc>
          <w:tcPr>
            <w:tcW w:w="0" w:type="auto"/>
            <w:gridSpan w:val="3"/>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顶岗实习</w:t>
            </w:r>
          </w:p>
        </w:tc>
      </w:tr>
    </w:tbl>
    <w:p>
      <w:pPr>
        <w:numPr>
          <w:ilvl w:val="0"/>
          <w:numId w:val="0"/>
        </w:numPr>
        <w:autoSpaceDE w:val="0"/>
        <w:spacing w:line="360" w:lineRule="auto"/>
        <w:ind w:leftChars="0"/>
        <w:jc w:val="both"/>
        <w:rPr>
          <w:rFonts w:hint="eastAsia" w:ascii="仿宋" w:hAnsi="仿宋" w:eastAsia="仿宋" w:cs="Times New Roman"/>
          <w:sz w:val="30"/>
          <w:szCs w:val="30"/>
          <w:highlight w:val="none"/>
        </w:rPr>
      </w:pPr>
      <w:r>
        <w:rPr>
          <w:rFonts w:hint="eastAsia" w:ascii="仿宋" w:hAnsi="仿宋" w:eastAsia="仿宋"/>
          <w:sz w:val="30"/>
          <w:szCs w:val="30"/>
          <w:highlight w:val="none"/>
        </w:rPr>
        <w:t>课程设置</w:t>
      </w:r>
      <w:r>
        <w:rPr>
          <w:rFonts w:hint="eastAsia" w:ascii="仿宋" w:hAnsi="仿宋" w:eastAsia="仿宋"/>
          <w:sz w:val="30"/>
          <w:szCs w:val="30"/>
          <w:highlight w:val="none"/>
        </w:rPr>
        <w:br w:type="textWrapping"/>
      </w:r>
      <w:r>
        <w:rPr>
          <w:rFonts w:hint="eastAsia" w:ascii="仿宋" w:hAnsi="仿宋" w:eastAsia="仿宋"/>
          <w:sz w:val="30"/>
          <w:szCs w:val="30"/>
          <w:highlight w:val="none"/>
        </w:rPr>
        <w:t xml:space="preserve"> </w:t>
      </w:r>
      <w:r>
        <w:rPr>
          <w:rFonts w:hint="eastAsia" w:ascii="仿宋" w:hAnsi="仿宋" w:eastAsia="仿宋" w:cs="Times New Roman"/>
          <w:sz w:val="30"/>
          <w:szCs w:val="30"/>
          <w:highlight w:val="none"/>
        </w:rPr>
        <w:t xml:space="preserve">   本专业结构分为公共必修课程、专业基础平台课程、专业核心课程、选修课程、技能实训课程以及顶岗实习。</w:t>
      </w:r>
      <w:r>
        <w:rPr>
          <w:rFonts w:hint="eastAsia" w:ascii="仿宋" w:hAnsi="仿宋" w:eastAsia="仿宋" w:cs="Times New Roman"/>
          <w:sz w:val="30"/>
          <w:szCs w:val="30"/>
          <w:highlight w:val="none"/>
        </w:rPr>
        <w:br w:type="textWrapping"/>
      </w:r>
      <w:r>
        <w:rPr>
          <w:rFonts w:hint="eastAsia" w:ascii="仿宋" w:hAnsi="仿宋" w:eastAsia="仿宋" w:cs="Times New Roman"/>
          <w:sz w:val="30"/>
          <w:szCs w:val="30"/>
          <w:highlight w:val="none"/>
        </w:rPr>
        <w:t xml:space="preserve">   公共必修课程强调在不同学科之间构建共同的基础知识平台，主要包括思想政治理论课、语文、数学、英语、计算机应用基础、体育、历史等方面内容。为了达到专业培养目标，充分体现专业特色，以培养学生基本素质使学生学会做人、学会学习、学会工作、学会生存。</w:t>
      </w:r>
      <w:r>
        <w:rPr>
          <w:rFonts w:hint="eastAsia" w:ascii="仿宋" w:hAnsi="仿宋" w:eastAsia="仿宋" w:cs="Times New Roman"/>
          <w:sz w:val="30"/>
          <w:szCs w:val="30"/>
          <w:highlight w:val="none"/>
        </w:rPr>
        <w:br w:type="textWrapping"/>
      </w:r>
      <w:r>
        <w:rPr>
          <w:rFonts w:hint="eastAsia" w:ascii="仿宋" w:hAnsi="仿宋" w:eastAsia="仿宋" w:cs="Times New Roman"/>
          <w:sz w:val="30"/>
          <w:szCs w:val="30"/>
          <w:highlight w:val="none"/>
        </w:rPr>
        <w:t xml:space="preserve">   专业课程（专业基础平台课程、专业核心课程）体现专业核心知识、能力和素质要求；是指某一专业必须学习掌握的课程。此类课程是保证培养专门人才的根本。</w:t>
      </w:r>
      <w:r>
        <w:rPr>
          <w:rFonts w:hint="eastAsia" w:ascii="仿宋" w:hAnsi="仿宋" w:eastAsia="仿宋" w:cs="Times New Roman"/>
          <w:sz w:val="30"/>
          <w:szCs w:val="30"/>
          <w:highlight w:val="none"/>
        </w:rPr>
        <w:br w:type="textWrapping"/>
      </w:r>
      <w:r>
        <w:rPr>
          <w:rFonts w:hint="eastAsia" w:ascii="仿宋" w:hAnsi="仿宋" w:eastAsia="仿宋" w:cs="Times New Roman"/>
          <w:sz w:val="30"/>
          <w:szCs w:val="30"/>
          <w:highlight w:val="none"/>
        </w:rPr>
        <w:t xml:space="preserve">   选修课程体现学生兴趣爱好，可以根据学生自身实际情况获取新的知识，拓展已有的视野眼界。</w:t>
      </w:r>
      <w:r>
        <w:rPr>
          <w:rFonts w:hint="eastAsia" w:ascii="仿宋" w:hAnsi="仿宋" w:eastAsia="仿宋" w:cs="Times New Roman"/>
          <w:sz w:val="30"/>
          <w:szCs w:val="30"/>
          <w:highlight w:val="none"/>
        </w:rPr>
        <w:br w:type="textWrapping"/>
      </w:r>
      <w:r>
        <w:rPr>
          <w:rFonts w:hint="eastAsia" w:ascii="仿宋" w:hAnsi="仿宋" w:eastAsia="仿宋" w:cs="Times New Roman"/>
          <w:sz w:val="30"/>
          <w:szCs w:val="30"/>
          <w:highlight w:val="none"/>
        </w:rPr>
        <w:t xml:space="preserve">   技能实训课程以及顶岗实习主要包括社会实践、实习、实训、课程设计、毕业实习等。集中实践教学环节应贯穿人才培养的全过程。为了达到专业培养目标，培养本专业学生的技能，结合本专业的知识点、能力点，构建了实践教学体系，以技能培养为核心，突出实践教学，使学生一就业就能上岗。</w:t>
      </w:r>
    </w:p>
    <w:p>
      <w:pPr>
        <w:pStyle w:val="2"/>
        <w:rPr>
          <w:rFonts w:hint="eastAsia"/>
        </w:rPr>
      </w:pPr>
    </w:p>
    <w:p>
      <w:pPr>
        <w:jc w:val="left"/>
        <w:rPr>
          <w:rFonts w:hint="eastAsia" w:ascii="仿宋" w:hAnsi="仿宋" w:eastAsia="仿宋"/>
          <w:sz w:val="28"/>
          <w:szCs w:val="28"/>
          <w:highlight w:val="none"/>
        </w:rPr>
      </w:pPr>
      <w:r>
        <w:rPr>
          <w:rFonts w:hint="eastAsia" w:ascii="仿宋" w:hAnsi="仿宋" w:eastAsia="仿宋"/>
          <w:sz w:val="30"/>
          <w:szCs w:val="30"/>
          <w:highlight w:val="none"/>
        </w:rPr>
        <w:t>(一)</w:t>
      </w:r>
      <w:r>
        <w:rPr>
          <w:rFonts w:hint="eastAsia" w:ascii="仿宋" w:hAnsi="仿宋" w:eastAsia="仿宋"/>
          <w:sz w:val="28"/>
          <w:szCs w:val="28"/>
          <w:highlight w:val="none"/>
        </w:rPr>
        <w:t>公共必修课程</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6"/>
        <w:gridCol w:w="895"/>
        <w:gridCol w:w="6369"/>
        <w:gridCol w:w="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Calibri"/>
                <w:sz w:val="28"/>
                <w:szCs w:val="28"/>
                <w:highlight w:val="none"/>
              </w:rPr>
            </w:pPr>
            <w:r>
              <w:rPr>
                <w:rFonts w:hint="eastAsia" w:ascii="仿宋" w:hAnsi="仿宋" w:eastAsia="仿宋"/>
                <w:sz w:val="28"/>
                <w:szCs w:val="28"/>
                <w:highlight w:val="none"/>
              </w:rPr>
              <w:t>序号</w:t>
            </w:r>
          </w:p>
        </w:tc>
        <w:tc>
          <w:tcPr>
            <w:tcW w:w="0" w:type="auto"/>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Calibri"/>
                <w:sz w:val="28"/>
                <w:szCs w:val="28"/>
                <w:highlight w:val="none"/>
              </w:rPr>
            </w:pPr>
            <w:r>
              <w:rPr>
                <w:rFonts w:hint="eastAsia" w:ascii="仿宋" w:hAnsi="仿宋" w:eastAsia="仿宋"/>
                <w:sz w:val="28"/>
                <w:szCs w:val="28"/>
                <w:highlight w:val="none"/>
              </w:rPr>
              <w:t>课程名称</w:t>
            </w:r>
          </w:p>
        </w:tc>
        <w:tc>
          <w:tcPr>
            <w:tcW w:w="0" w:type="auto"/>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Calibri"/>
                <w:sz w:val="28"/>
                <w:szCs w:val="28"/>
                <w:highlight w:val="none"/>
              </w:rPr>
            </w:pPr>
            <w:r>
              <w:rPr>
                <w:rFonts w:hint="eastAsia" w:ascii="仿宋" w:hAnsi="仿宋" w:eastAsia="仿宋"/>
                <w:sz w:val="28"/>
                <w:szCs w:val="28"/>
                <w:highlight w:val="none"/>
              </w:rPr>
              <w:t>主要教学内容和要求</w:t>
            </w:r>
          </w:p>
        </w:tc>
        <w:tc>
          <w:tcPr>
            <w:tcW w:w="0" w:type="auto"/>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Calibri"/>
                <w:sz w:val="28"/>
                <w:szCs w:val="28"/>
                <w:highlight w:val="none"/>
              </w:rPr>
            </w:pPr>
            <w:r>
              <w:rPr>
                <w:rFonts w:hint="eastAsia" w:ascii="仿宋" w:hAnsi="仿宋" w:eastAsia="仿宋"/>
                <w:sz w:val="28"/>
                <w:szCs w:val="28"/>
                <w:highlight w:val="none"/>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2"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Calibri"/>
                <w:sz w:val="28"/>
                <w:szCs w:val="28"/>
                <w:highlight w:val="none"/>
              </w:rPr>
            </w:pPr>
            <w:r>
              <w:rPr>
                <w:rFonts w:hint="eastAsia" w:ascii="仿宋" w:hAnsi="仿宋" w:eastAsia="仿宋"/>
                <w:sz w:val="28"/>
                <w:szCs w:val="28"/>
                <w:highlight w:val="none"/>
              </w:rPr>
              <w:t>1</w:t>
            </w:r>
          </w:p>
        </w:tc>
        <w:tc>
          <w:tcPr>
            <w:tcW w:w="0" w:type="auto"/>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Calibri"/>
                <w:sz w:val="28"/>
                <w:szCs w:val="28"/>
                <w:highlight w:val="none"/>
              </w:rPr>
            </w:pPr>
            <w:r>
              <w:rPr>
                <w:rFonts w:hint="eastAsia" w:ascii="仿宋" w:hAnsi="仿宋" w:eastAsia="仿宋"/>
                <w:sz w:val="28"/>
                <w:szCs w:val="28"/>
                <w:highlight w:val="none"/>
              </w:rPr>
              <w:t>中国特色社会主义</w:t>
            </w:r>
          </w:p>
        </w:tc>
        <w:tc>
          <w:tcPr>
            <w:tcW w:w="0" w:type="auto"/>
            <w:tcBorders>
              <w:top w:val="single" w:color="auto" w:sz="4" w:space="0"/>
              <w:left w:val="nil"/>
              <w:bottom w:val="single" w:color="auto" w:sz="4" w:space="0"/>
              <w:right w:val="single" w:color="auto" w:sz="4" w:space="0"/>
            </w:tcBorders>
            <w:noWrap w:val="0"/>
            <w:vAlign w:val="center"/>
          </w:tcPr>
          <w:p>
            <w:pPr>
              <w:spacing w:line="480" w:lineRule="exact"/>
              <w:ind w:firstLine="440" w:firstLineChars="200"/>
              <w:jc w:val="left"/>
              <w:rPr>
                <w:rFonts w:ascii="仿宋" w:hAnsi="仿宋" w:eastAsia="仿宋" w:cs="Calibri"/>
                <w:sz w:val="22"/>
                <w:szCs w:val="22"/>
                <w:highlight w:val="none"/>
              </w:rPr>
            </w:pPr>
            <w:r>
              <w:rPr>
                <w:rFonts w:hint="eastAsia" w:ascii="仿宋" w:hAnsi="仿宋" w:eastAsia="仿宋"/>
                <w:sz w:val="22"/>
                <w:szCs w:val="22"/>
                <w:highlight w:val="none"/>
              </w:rPr>
              <w:t>依据中等职业学校思想政治课程标准（2020年版）开设，以习近平新时代中国特色社会主义思想为指导，阐释中国特色社会主义的开创与发展，明确中国特色社会主义进入新时代的历史方位，阐明中国特色社会主义建设“五位一体”总体布局的基本内容，引导学生树立对马克思主义的信仰、对中国特色社会主义的信念、对中华民族伟大复兴中国梦的信心，坚定中国特色社会主义道路自信、理论自信、制度自信、文化自信、把爱国情、强国志、报国行自觉融入坚持和发展中国特色社会主义事业、建设社会主义现代化强国、实现中华民族伟大复兴的奋斗之中。</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default" w:ascii="仿宋" w:hAnsi="仿宋" w:eastAsia="仿宋" w:cs="Calibri"/>
                <w:sz w:val="40"/>
                <w:szCs w:val="40"/>
                <w:highlight w:val="none"/>
                <w:lang w:val="en-US" w:eastAsia="zh-CN"/>
              </w:rPr>
            </w:pPr>
            <w:r>
              <w:rPr>
                <w:rFonts w:hint="eastAsia" w:ascii="仿宋" w:hAnsi="仿宋" w:eastAsia="仿宋"/>
                <w:color w:val="000000"/>
                <w:kern w:val="0"/>
                <w:sz w:val="24"/>
                <w:szCs w:val="24"/>
                <w:highlight w:val="none"/>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Calibri"/>
                <w:sz w:val="28"/>
                <w:szCs w:val="28"/>
                <w:highlight w:val="none"/>
              </w:rPr>
            </w:pPr>
            <w:r>
              <w:rPr>
                <w:rFonts w:hint="eastAsia" w:ascii="仿宋" w:hAnsi="仿宋" w:eastAsia="仿宋"/>
                <w:sz w:val="28"/>
                <w:szCs w:val="28"/>
                <w:highlight w:val="none"/>
              </w:rPr>
              <w:t>2</w:t>
            </w:r>
          </w:p>
        </w:tc>
        <w:tc>
          <w:tcPr>
            <w:tcW w:w="0" w:type="auto"/>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Calibri"/>
                <w:sz w:val="28"/>
                <w:szCs w:val="28"/>
                <w:highlight w:val="none"/>
              </w:rPr>
            </w:pPr>
            <w:r>
              <w:rPr>
                <w:rFonts w:hint="eastAsia" w:ascii="仿宋" w:hAnsi="仿宋" w:eastAsia="仿宋"/>
                <w:sz w:val="28"/>
                <w:szCs w:val="28"/>
                <w:highlight w:val="none"/>
              </w:rPr>
              <w:t>心理健康与职业生涯</w:t>
            </w:r>
          </w:p>
        </w:tc>
        <w:tc>
          <w:tcPr>
            <w:tcW w:w="0" w:type="auto"/>
            <w:tcBorders>
              <w:top w:val="single" w:color="auto" w:sz="4" w:space="0"/>
              <w:left w:val="nil"/>
              <w:bottom w:val="single" w:color="auto" w:sz="4" w:space="0"/>
              <w:right w:val="single" w:color="auto" w:sz="4" w:space="0"/>
            </w:tcBorders>
            <w:noWrap w:val="0"/>
            <w:vAlign w:val="center"/>
          </w:tcPr>
          <w:p>
            <w:pPr>
              <w:spacing w:line="480" w:lineRule="exact"/>
              <w:ind w:firstLine="440" w:firstLineChars="200"/>
              <w:jc w:val="left"/>
              <w:rPr>
                <w:rFonts w:ascii="仿宋" w:hAnsi="仿宋" w:eastAsia="仿宋" w:cs="Calibri"/>
                <w:sz w:val="22"/>
                <w:szCs w:val="22"/>
                <w:highlight w:val="none"/>
              </w:rPr>
            </w:pPr>
            <w:r>
              <w:rPr>
                <w:rFonts w:hint="eastAsia" w:ascii="仿宋" w:hAnsi="仿宋" w:eastAsia="仿宋"/>
                <w:sz w:val="22"/>
                <w:szCs w:val="22"/>
                <w:highlight w:val="none"/>
              </w:rPr>
              <w:t>依据中等职业学校思想政治课程标准(2020年版)开设，基于社会发展对中职学生心理素质、职业生涯发展提出的新要求以及心理和谐、职业成才的培养目标，阐释心理健康知识，引导学生树立心理健康意识，掌握心理调适和职业生涯规划的方法，帮助学生正确处理生活、学习、成长和求职就业中遇到的问题，培育自立自强、敬业乐群的心理品质和自尊自信、理性平和、积极向上的良好心态，根据社会发展需要和学生心理特点进行职业生涯指导，为职业生涯发展奠定基础。</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default" w:ascii="仿宋" w:hAnsi="仿宋" w:eastAsia="仿宋" w:cs="Calibri"/>
                <w:sz w:val="40"/>
                <w:szCs w:val="40"/>
                <w:highlight w:val="none"/>
                <w:lang w:val="en-US" w:eastAsia="zh-CN"/>
              </w:rPr>
            </w:pPr>
            <w:r>
              <w:rPr>
                <w:rFonts w:hint="eastAsia" w:ascii="仿宋" w:hAnsi="仿宋" w:eastAsia="仿宋"/>
                <w:color w:val="000000"/>
                <w:kern w:val="0"/>
                <w:sz w:val="24"/>
                <w:szCs w:val="24"/>
                <w:highlight w:val="none"/>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7"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Calibri"/>
                <w:sz w:val="28"/>
                <w:szCs w:val="28"/>
                <w:highlight w:val="none"/>
              </w:rPr>
            </w:pPr>
            <w:r>
              <w:rPr>
                <w:rFonts w:hint="eastAsia" w:ascii="仿宋" w:hAnsi="仿宋" w:eastAsia="仿宋"/>
                <w:sz w:val="28"/>
                <w:szCs w:val="28"/>
                <w:highlight w:val="none"/>
              </w:rPr>
              <w:t>3</w:t>
            </w:r>
          </w:p>
        </w:tc>
        <w:tc>
          <w:tcPr>
            <w:tcW w:w="0" w:type="auto"/>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Calibri"/>
                <w:sz w:val="28"/>
                <w:szCs w:val="28"/>
                <w:highlight w:val="none"/>
              </w:rPr>
            </w:pPr>
            <w:r>
              <w:rPr>
                <w:rFonts w:hint="eastAsia" w:ascii="仿宋" w:hAnsi="仿宋" w:eastAsia="仿宋"/>
                <w:sz w:val="28"/>
                <w:szCs w:val="28"/>
                <w:highlight w:val="none"/>
              </w:rPr>
              <w:t>哲学与人生</w:t>
            </w:r>
          </w:p>
        </w:tc>
        <w:tc>
          <w:tcPr>
            <w:tcW w:w="0" w:type="auto"/>
            <w:tcBorders>
              <w:top w:val="single" w:color="auto" w:sz="4" w:space="0"/>
              <w:left w:val="nil"/>
              <w:bottom w:val="single" w:color="auto" w:sz="4" w:space="0"/>
              <w:right w:val="single" w:color="auto" w:sz="4" w:space="0"/>
            </w:tcBorders>
            <w:noWrap w:val="0"/>
            <w:vAlign w:val="center"/>
          </w:tcPr>
          <w:p>
            <w:pPr>
              <w:spacing w:line="480" w:lineRule="exact"/>
              <w:ind w:firstLine="440" w:firstLineChars="200"/>
              <w:jc w:val="left"/>
              <w:rPr>
                <w:rFonts w:ascii="仿宋" w:hAnsi="仿宋" w:eastAsia="仿宋" w:cs="Calibri"/>
                <w:sz w:val="22"/>
                <w:szCs w:val="22"/>
                <w:highlight w:val="none"/>
              </w:rPr>
            </w:pPr>
            <w:r>
              <w:rPr>
                <w:rFonts w:hint="eastAsia" w:ascii="仿宋" w:hAnsi="仿宋" w:eastAsia="仿宋"/>
                <w:sz w:val="22"/>
                <w:szCs w:val="22"/>
                <w:highlight w:val="none"/>
              </w:rPr>
              <w:t>依据中等职业学校思想政治课程标准(2020年版)开设，阐明马克思主义哲学是科学的世界观和方法论，讲述辩证唯物主义和历史唯物主义基本观点及其对人生成长的意义；阐述社会生活及个人成长中进行正确价值判断和行为选择的意义;引导学生弘扬和践行社会主义核心价值观，为学生成长奠定正确的世界观、人生观和价值观基础。</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default" w:ascii="仿宋" w:hAnsi="仿宋" w:eastAsia="仿宋" w:cs="Calibri"/>
                <w:sz w:val="40"/>
                <w:szCs w:val="40"/>
                <w:highlight w:val="none"/>
                <w:lang w:val="en-US" w:eastAsia="zh-CN"/>
              </w:rPr>
            </w:pPr>
            <w:r>
              <w:rPr>
                <w:rFonts w:hint="eastAsia" w:ascii="仿宋" w:hAnsi="仿宋" w:eastAsia="仿宋"/>
                <w:color w:val="000000"/>
                <w:kern w:val="0"/>
                <w:sz w:val="24"/>
                <w:szCs w:val="24"/>
                <w:highlight w:val="none"/>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Calibri"/>
                <w:sz w:val="28"/>
                <w:szCs w:val="28"/>
                <w:highlight w:val="none"/>
              </w:rPr>
            </w:pPr>
            <w:r>
              <w:rPr>
                <w:rFonts w:hint="eastAsia" w:ascii="仿宋" w:hAnsi="仿宋" w:eastAsia="仿宋"/>
                <w:sz w:val="28"/>
                <w:szCs w:val="28"/>
                <w:highlight w:val="none"/>
              </w:rPr>
              <w:t>4</w:t>
            </w:r>
          </w:p>
        </w:tc>
        <w:tc>
          <w:tcPr>
            <w:tcW w:w="0" w:type="auto"/>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Calibri"/>
                <w:sz w:val="28"/>
                <w:szCs w:val="28"/>
                <w:highlight w:val="none"/>
              </w:rPr>
            </w:pPr>
            <w:r>
              <w:rPr>
                <w:rFonts w:hint="eastAsia" w:ascii="仿宋" w:hAnsi="仿宋" w:eastAsia="仿宋"/>
                <w:sz w:val="28"/>
                <w:szCs w:val="28"/>
                <w:highlight w:val="none"/>
              </w:rPr>
              <w:t>职业道德与法治</w:t>
            </w:r>
          </w:p>
        </w:tc>
        <w:tc>
          <w:tcPr>
            <w:tcW w:w="0" w:type="auto"/>
            <w:tcBorders>
              <w:top w:val="single" w:color="auto" w:sz="4" w:space="0"/>
              <w:left w:val="nil"/>
              <w:bottom w:val="single" w:color="auto" w:sz="4" w:space="0"/>
              <w:right w:val="single" w:color="auto" w:sz="4" w:space="0"/>
            </w:tcBorders>
            <w:noWrap w:val="0"/>
            <w:vAlign w:val="center"/>
          </w:tcPr>
          <w:p>
            <w:pPr>
              <w:spacing w:line="480" w:lineRule="exact"/>
              <w:ind w:firstLine="440" w:firstLineChars="200"/>
              <w:jc w:val="left"/>
              <w:rPr>
                <w:rFonts w:ascii="仿宋" w:hAnsi="仿宋" w:eastAsia="仿宋" w:cs="Calibri"/>
                <w:sz w:val="22"/>
                <w:szCs w:val="22"/>
                <w:highlight w:val="none"/>
              </w:rPr>
            </w:pPr>
            <w:r>
              <w:rPr>
                <w:rFonts w:hint="eastAsia" w:ascii="仿宋" w:hAnsi="仿宋" w:eastAsia="仿宋"/>
                <w:sz w:val="22"/>
                <w:szCs w:val="22"/>
                <w:highlight w:val="none"/>
              </w:rPr>
              <w:t>依据中等职业学校思想政治课程标准(2020年版)开设，着眼于提高中职学生的职业道德素质和法治素养，对学生进行职业道德和法治教育。帮助学生理解全面依法治国的总目标和基本要求，了解职业道德和法律规范，增强职业道德和法治意识，养成爱岗敬业、依法办事的思维方式和行为习惯。</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default" w:ascii="仿宋" w:hAnsi="仿宋" w:eastAsia="仿宋" w:cs="Calibri"/>
                <w:sz w:val="40"/>
                <w:szCs w:val="40"/>
                <w:highlight w:val="none"/>
                <w:lang w:val="en-US" w:eastAsia="zh-CN"/>
              </w:rPr>
            </w:pPr>
            <w:r>
              <w:rPr>
                <w:rFonts w:hint="eastAsia" w:ascii="仿宋" w:hAnsi="仿宋" w:eastAsia="仿宋"/>
                <w:color w:val="000000"/>
                <w:kern w:val="0"/>
                <w:sz w:val="24"/>
                <w:szCs w:val="24"/>
                <w:highlight w:val="none"/>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Calibri"/>
                <w:sz w:val="28"/>
                <w:szCs w:val="28"/>
                <w:highlight w:val="none"/>
              </w:rPr>
            </w:pPr>
            <w:r>
              <w:rPr>
                <w:rFonts w:hint="eastAsia" w:ascii="仿宋" w:hAnsi="仿宋" w:eastAsia="仿宋"/>
                <w:sz w:val="28"/>
                <w:szCs w:val="28"/>
                <w:highlight w:val="none"/>
              </w:rPr>
              <w:t>5</w:t>
            </w:r>
          </w:p>
        </w:tc>
        <w:tc>
          <w:tcPr>
            <w:tcW w:w="0" w:type="auto"/>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Calibri"/>
                <w:sz w:val="28"/>
                <w:szCs w:val="28"/>
                <w:highlight w:val="none"/>
              </w:rPr>
            </w:pPr>
            <w:r>
              <w:rPr>
                <w:rFonts w:hint="eastAsia" w:ascii="仿宋" w:hAnsi="仿宋" w:eastAsia="仿宋"/>
                <w:sz w:val="28"/>
                <w:szCs w:val="28"/>
                <w:highlight w:val="none"/>
              </w:rPr>
              <w:t>历</w:t>
            </w:r>
          </w:p>
          <w:p>
            <w:pPr>
              <w:jc w:val="center"/>
              <w:rPr>
                <w:rFonts w:ascii="仿宋" w:hAnsi="仿宋" w:eastAsia="仿宋" w:cs="Calibri"/>
                <w:sz w:val="28"/>
                <w:szCs w:val="28"/>
                <w:highlight w:val="none"/>
              </w:rPr>
            </w:pPr>
            <w:r>
              <w:rPr>
                <w:rFonts w:hint="eastAsia" w:ascii="仿宋" w:hAnsi="仿宋" w:eastAsia="仿宋"/>
                <w:sz w:val="28"/>
                <w:szCs w:val="28"/>
                <w:highlight w:val="none"/>
              </w:rPr>
              <w:t>史</w:t>
            </w:r>
          </w:p>
        </w:tc>
        <w:tc>
          <w:tcPr>
            <w:tcW w:w="0" w:type="auto"/>
            <w:tcBorders>
              <w:top w:val="single" w:color="auto" w:sz="4" w:space="0"/>
              <w:left w:val="nil"/>
              <w:bottom w:val="single" w:color="auto" w:sz="4" w:space="0"/>
              <w:right w:val="single" w:color="auto" w:sz="4" w:space="0"/>
            </w:tcBorders>
            <w:noWrap w:val="0"/>
            <w:vAlign w:val="center"/>
          </w:tcPr>
          <w:p>
            <w:pPr>
              <w:spacing w:line="480" w:lineRule="exact"/>
              <w:ind w:firstLine="440" w:firstLineChars="200"/>
              <w:jc w:val="left"/>
              <w:rPr>
                <w:rFonts w:ascii="仿宋" w:hAnsi="仿宋" w:eastAsia="仿宋" w:cs="Calibri"/>
                <w:sz w:val="22"/>
                <w:szCs w:val="22"/>
                <w:highlight w:val="none"/>
              </w:rPr>
            </w:pPr>
            <w:r>
              <w:rPr>
                <w:rFonts w:hint="eastAsia" w:ascii="仿宋" w:hAnsi="仿宋" w:eastAsia="仿宋"/>
                <w:sz w:val="22"/>
                <w:szCs w:val="22"/>
                <w:highlight w:val="none"/>
              </w:rPr>
              <w:t>依据《中等职业学校历史教学大纲》开设，并注重培养学生了解人类社会的发展过程从历史的角度去认识人与人、人与社会、人与自然的关系，从中汲取智慧，提高人文素养，形成正确的世界观、人生观和价值观。</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default" w:ascii="仿宋" w:hAnsi="仿宋" w:eastAsia="仿宋" w:cs="Calibri"/>
                <w:sz w:val="40"/>
                <w:szCs w:val="40"/>
                <w:highlight w:val="none"/>
                <w:lang w:val="en-US" w:eastAsia="zh-CN"/>
              </w:rPr>
            </w:pPr>
            <w:r>
              <w:rPr>
                <w:rFonts w:hint="eastAsia" w:ascii="仿宋" w:hAnsi="仿宋" w:eastAsia="仿宋"/>
                <w:color w:val="000000"/>
                <w:kern w:val="0"/>
                <w:sz w:val="24"/>
                <w:szCs w:val="24"/>
                <w:highlight w:val="none"/>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Calibri"/>
                <w:sz w:val="28"/>
                <w:szCs w:val="28"/>
                <w:highlight w:val="none"/>
              </w:rPr>
            </w:pPr>
            <w:r>
              <w:rPr>
                <w:rFonts w:hint="eastAsia" w:ascii="仿宋" w:hAnsi="仿宋" w:eastAsia="仿宋"/>
                <w:sz w:val="28"/>
                <w:szCs w:val="28"/>
                <w:highlight w:val="none"/>
              </w:rPr>
              <w:t>6</w:t>
            </w:r>
          </w:p>
        </w:tc>
        <w:tc>
          <w:tcPr>
            <w:tcW w:w="0" w:type="auto"/>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Calibri"/>
                <w:sz w:val="28"/>
                <w:szCs w:val="28"/>
                <w:highlight w:val="none"/>
              </w:rPr>
            </w:pPr>
            <w:r>
              <w:rPr>
                <w:rFonts w:hint="eastAsia" w:ascii="仿宋" w:hAnsi="仿宋" w:eastAsia="仿宋"/>
                <w:sz w:val="28"/>
                <w:szCs w:val="28"/>
                <w:highlight w:val="none"/>
              </w:rPr>
              <w:t>体育与健康</w:t>
            </w:r>
          </w:p>
        </w:tc>
        <w:tc>
          <w:tcPr>
            <w:tcW w:w="0" w:type="auto"/>
            <w:tcBorders>
              <w:top w:val="single" w:color="auto" w:sz="4" w:space="0"/>
              <w:left w:val="nil"/>
              <w:bottom w:val="single" w:color="auto" w:sz="4" w:space="0"/>
              <w:right w:val="single" w:color="auto" w:sz="4" w:space="0"/>
            </w:tcBorders>
            <w:noWrap w:val="0"/>
            <w:vAlign w:val="center"/>
          </w:tcPr>
          <w:p>
            <w:pPr>
              <w:spacing w:line="480" w:lineRule="exact"/>
              <w:ind w:firstLine="440" w:firstLineChars="200"/>
              <w:jc w:val="left"/>
              <w:rPr>
                <w:rFonts w:ascii="仿宋" w:hAnsi="仿宋" w:eastAsia="仿宋" w:cs="Calibri"/>
                <w:sz w:val="22"/>
                <w:szCs w:val="22"/>
                <w:highlight w:val="none"/>
              </w:rPr>
            </w:pPr>
            <w:r>
              <w:rPr>
                <w:rFonts w:hint="eastAsia" w:ascii="仿宋" w:hAnsi="仿宋" w:eastAsia="仿宋"/>
                <w:sz w:val="22"/>
                <w:szCs w:val="22"/>
                <w:highlight w:val="none"/>
              </w:rPr>
              <w:t>依据《中等职业学校体育与健康课程标准》开设,中等职业学校体育与健康课程要落实立德树人的根本任务,以体育人,增强学生体质。通过学习本课程,学生能够喜爱并积极参与体育运动,享受体育运动的乐趣;学会锻炼身体的科学方法,掌握1-2项体育运动技能,提升体育运动能力,提高职业体能水平;树立健康观念,掌握健康知识和职业相关的健康安全知识,形成健康文明的生活方式;遵守体育道德规范和行为准则,发扬体育精神,塑造良好的体育品格,增强责任意识、规则意识和团队意识,帮助学生在体育锻炼中享受乐趣增强体质、健全人格、锤炼意志,使学生在运动能力、健康行为和体育精神三方面获得全面发展。</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default" w:ascii="仿宋" w:hAnsi="仿宋" w:eastAsia="仿宋" w:cs="Calibri"/>
                <w:sz w:val="40"/>
                <w:szCs w:val="40"/>
                <w:highlight w:val="none"/>
                <w:lang w:val="en-US" w:eastAsia="zh-CN"/>
              </w:rPr>
            </w:pPr>
            <w:r>
              <w:rPr>
                <w:rFonts w:hint="eastAsia" w:ascii="仿宋" w:hAnsi="仿宋" w:eastAsia="仿宋"/>
                <w:color w:val="000000"/>
                <w:kern w:val="0"/>
                <w:sz w:val="24"/>
                <w:szCs w:val="24"/>
                <w:highlight w:val="none"/>
                <w:lang w:val="en-US" w:eastAsia="zh-CN"/>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Calibri"/>
                <w:sz w:val="28"/>
                <w:szCs w:val="28"/>
                <w:highlight w:val="none"/>
              </w:rPr>
            </w:pPr>
          </w:p>
          <w:p>
            <w:pPr>
              <w:jc w:val="center"/>
              <w:rPr>
                <w:rFonts w:hint="eastAsia" w:ascii="仿宋" w:hAnsi="仿宋" w:eastAsia="仿宋"/>
                <w:sz w:val="28"/>
                <w:szCs w:val="28"/>
                <w:highlight w:val="none"/>
              </w:rPr>
            </w:pPr>
          </w:p>
          <w:p>
            <w:pPr>
              <w:jc w:val="center"/>
              <w:rPr>
                <w:rFonts w:ascii="仿宋" w:hAnsi="仿宋" w:eastAsia="仿宋" w:cs="Calibri"/>
                <w:sz w:val="28"/>
                <w:szCs w:val="28"/>
                <w:highlight w:val="none"/>
              </w:rPr>
            </w:pPr>
            <w:r>
              <w:rPr>
                <w:rFonts w:hint="eastAsia" w:ascii="仿宋" w:hAnsi="仿宋" w:eastAsia="仿宋"/>
                <w:sz w:val="28"/>
                <w:szCs w:val="28"/>
                <w:highlight w:val="none"/>
              </w:rPr>
              <w:t>7</w:t>
            </w:r>
          </w:p>
        </w:tc>
        <w:tc>
          <w:tcPr>
            <w:tcW w:w="0" w:type="auto"/>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Calibri"/>
                <w:sz w:val="28"/>
                <w:szCs w:val="28"/>
                <w:highlight w:val="none"/>
              </w:rPr>
            </w:pPr>
            <w:r>
              <w:rPr>
                <w:rFonts w:hint="eastAsia" w:ascii="仿宋" w:hAnsi="仿宋" w:eastAsia="仿宋"/>
                <w:sz w:val="28"/>
                <w:szCs w:val="28"/>
                <w:highlight w:val="none"/>
              </w:rPr>
              <w:t>语</w:t>
            </w:r>
          </w:p>
          <w:p>
            <w:pPr>
              <w:jc w:val="center"/>
              <w:rPr>
                <w:rFonts w:ascii="仿宋" w:hAnsi="仿宋" w:eastAsia="仿宋" w:cs="Calibri"/>
                <w:sz w:val="28"/>
                <w:szCs w:val="28"/>
                <w:highlight w:val="none"/>
              </w:rPr>
            </w:pPr>
            <w:r>
              <w:rPr>
                <w:rFonts w:hint="eastAsia" w:ascii="仿宋" w:hAnsi="仿宋" w:eastAsia="仿宋"/>
                <w:sz w:val="28"/>
                <w:szCs w:val="28"/>
                <w:highlight w:val="none"/>
              </w:rPr>
              <w:t>文</w:t>
            </w:r>
          </w:p>
        </w:tc>
        <w:tc>
          <w:tcPr>
            <w:tcW w:w="0" w:type="auto"/>
            <w:tcBorders>
              <w:top w:val="single" w:color="auto" w:sz="4" w:space="0"/>
              <w:left w:val="nil"/>
              <w:bottom w:val="single" w:color="auto" w:sz="4" w:space="0"/>
              <w:right w:val="single" w:color="auto" w:sz="4" w:space="0"/>
            </w:tcBorders>
            <w:noWrap w:val="0"/>
            <w:vAlign w:val="center"/>
          </w:tcPr>
          <w:p>
            <w:pPr>
              <w:spacing w:line="480" w:lineRule="exact"/>
              <w:ind w:firstLine="440" w:firstLineChars="200"/>
              <w:jc w:val="left"/>
              <w:rPr>
                <w:rFonts w:ascii="仿宋" w:hAnsi="仿宋" w:eastAsia="仿宋" w:cs="Calibri"/>
                <w:sz w:val="22"/>
                <w:szCs w:val="22"/>
                <w:highlight w:val="none"/>
              </w:rPr>
            </w:pPr>
            <w:r>
              <w:rPr>
                <w:rFonts w:hint="eastAsia" w:ascii="仿宋" w:hAnsi="仿宋" w:eastAsia="仿宋"/>
                <w:sz w:val="22"/>
                <w:szCs w:val="22"/>
                <w:highlight w:val="none"/>
              </w:rPr>
              <w:t>依据《中等职业学校语文教学大纲》开设,并注重培养学生加强写作和口语交际训练,提高学生应用文写作能力和日常口语交际水平。通过课内外的教学活动,使学生进一步巩固和扩展必需的语文基础知识,养成自学和运用语文的良好习惯,和在本专业中的应用能力。</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default" w:ascii="仿宋" w:hAnsi="仿宋" w:eastAsia="仿宋" w:cs="Calibri"/>
                <w:sz w:val="40"/>
                <w:szCs w:val="40"/>
                <w:highlight w:val="none"/>
                <w:lang w:val="en-US" w:eastAsia="zh-CN"/>
              </w:rPr>
            </w:pPr>
            <w:r>
              <w:rPr>
                <w:rFonts w:hint="eastAsia" w:ascii="仿宋" w:hAnsi="仿宋" w:eastAsia="仿宋"/>
                <w:color w:val="000000"/>
                <w:kern w:val="0"/>
                <w:sz w:val="24"/>
                <w:szCs w:val="24"/>
                <w:highlight w:val="none"/>
                <w:lang w:val="en-US" w:eastAsia="zh-CN"/>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Calibri"/>
                <w:sz w:val="28"/>
                <w:szCs w:val="28"/>
                <w:highlight w:val="none"/>
              </w:rPr>
            </w:pPr>
            <w:r>
              <w:rPr>
                <w:rFonts w:hint="eastAsia" w:ascii="仿宋" w:hAnsi="仿宋" w:eastAsia="仿宋"/>
                <w:sz w:val="28"/>
                <w:szCs w:val="28"/>
                <w:highlight w:val="none"/>
              </w:rPr>
              <w:t>8</w:t>
            </w:r>
          </w:p>
        </w:tc>
        <w:tc>
          <w:tcPr>
            <w:tcW w:w="0" w:type="auto"/>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Calibri"/>
                <w:sz w:val="28"/>
                <w:szCs w:val="28"/>
                <w:highlight w:val="none"/>
              </w:rPr>
            </w:pPr>
            <w:r>
              <w:rPr>
                <w:rFonts w:hint="eastAsia" w:ascii="仿宋" w:hAnsi="仿宋" w:eastAsia="仿宋"/>
                <w:sz w:val="28"/>
                <w:szCs w:val="28"/>
                <w:highlight w:val="none"/>
              </w:rPr>
              <w:t>数</w:t>
            </w:r>
          </w:p>
          <w:p>
            <w:pPr>
              <w:jc w:val="center"/>
              <w:rPr>
                <w:rFonts w:ascii="仿宋" w:hAnsi="仿宋" w:eastAsia="仿宋" w:cs="Calibri"/>
                <w:sz w:val="28"/>
                <w:szCs w:val="28"/>
                <w:highlight w:val="none"/>
              </w:rPr>
            </w:pPr>
            <w:r>
              <w:rPr>
                <w:rFonts w:hint="eastAsia" w:ascii="仿宋" w:hAnsi="仿宋" w:eastAsia="仿宋"/>
                <w:sz w:val="28"/>
                <w:szCs w:val="28"/>
                <w:highlight w:val="none"/>
              </w:rPr>
              <w:t>学</w:t>
            </w:r>
          </w:p>
        </w:tc>
        <w:tc>
          <w:tcPr>
            <w:tcW w:w="0" w:type="auto"/>
            <w:tcBorders>
              <w:top w:val="single" w:color="auto" w:sz="4" w:space="0"/>
              <w:left w:val="nil"/>
              <w:bottom w:val="single" w:color="auto" w:sz="4" w:space="0"/>
              <w:right w:val="single" w:color="auto" w:sz="4" w:space="0"/>
            </w:tcBorders>
            <w:noWrap w:val="0"/>
            <w:vAlign w:val="center"/>
          </w:tcPr>
          <w:p>
            <w:pPr>
              <w:spacing w:line="480" w:lineRule="exact"/>
              <w:ind w:firstLine="440" w:firstLineChars="200"/>
              <w:jc w:val="left"/>
              <w:rPr>
                <w:rFonts w:ascii="仿宋" w:hAnsi="仿宋" w:eastAsia="仿宋" w:cs="Calibri"/>
                <w:sz w:val="22"/>
                <w:szCs w:val="22"/>
                <w:highlight w:val="none"/>
              </w:rPr>
            </w:pPr>
            <w:r>
              <w:rPr>
                <w:rFonts w:hint="eastAsia" w:ascii="仿宋" w:hAnsi="仿宋" w:eastAsia="仿宋"/>
                <w:sz w:val="22"/>
                <w:szCs w:val="22"/>
                <w:highlight w:val="none"/>
              </w:rPr>
              <w:t>在初中数学的基础上,进一步学习数学的基础知识。通过教学,提高学生的数学素养,培养学生的基本运算、基本计算工具使用、空间想像、数形结合、逻辑思维和简单实际应用等能力,为学习专业课打下基础。</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default" w:ascii="仿宋" w:hAnsi="仿宋" w:eastAsia="仿宋" w:cs="Calibri"/>
                <w:sz w:val="40"/>
                <w:szCs w:val="40"/>
                <w:highlight w:val="none"/>
                <w:lang w:val="en-US" w:eastAsia="zh-CN"/>
              </w:rPr>
            </w:pPr>
            <w:r>
              <w:rPr>
                <w:rFonts w:hint="eastAsia" w:ascii="仿宋" w:hAnsi="仿宋" w:eastAsia="仿宋"/>
                <w:color w:val="000000"/>
                <w:kern w:val="0"/>
                <w:sz w:val="24"/>
                <w:szCs w:val="24"/>
                <w:highlight w:val="none"/>
                <w:lang w:val="en-US" w:eastAsia="zh-CN"/>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9"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Calibri"/>
                <w:sz w:val="28"/>
                <w:szCs w:val="28"/>
                <w:highlight w:val="none"/>
              </w:rPr>
            </w:pPr>
            <w:r>
              <w:rPr>
                <w:rFonts w:hint="eastAsia" w:ascii="仿宋" w:hAnsi="仿宋" w:eastAsia="仿宋"/>
                <w:sz w:val="28"/>
                <w:szCs w:val="28"/>
                <w:highlight w:val="none"/>
              </w:rPr>
              <w:t>9</w:t>
            </w:r>
          </w:p>
        </w:tc>
        <w:tc>
          <w:tcPr>
            <w:tcW w:w="0" w:type="auto"/>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Calibri"/>
                <w:sz w:val="28"/>
                <w:szCs w:val="28"/>
                <w:highlight w:val="none"/>
              </w:rPr>
            </w:pPr>
            <w:r>
              <w:rPr>
                <w:rFonts w:hint="eastAsia" w:ascii="仿宋" w:hAnsi="仿宋" w:eastAsia="仿宋"/>
                <w:sz w:val="28"/>
                <w:szCs w:val="28"/>
                <w:highlight w:val="none"/>
              </w:rPr>
              <w:t>英</w:t>
            </w:r>
          </w:p>
          <w:p>
            <w:pPr>
              <w:jc w:val="center"/>
              <w:rPr>
                <w:rFonts w:hint="eastAsia" w:ascii="仿宋" w:hAnsi="仿宋" w:eastAsia="仿宋"/>
                <w:sz w:val="28"/>
                <w:szCs w:val="28"/>
                <w:highlight w:val="none"/>
              </w:rPr>
            </w:pPr>
            <w:r>
              <w:rPr>
                <w:rFonts w:hint="eastAsia" w:ascii="仿宋" w:hAnsi="仿宋" w:eastAsia="仿宋"/>
                <w:sz w:val="28"/>
                <w:szCs w:val="28"/>
                <w:highlight w:val="none"/>
              </w:rPr>
              <w:t>语</w:t>
            </w:r>
          </w:p>
          <w:p>
            <w:pPr>
              <w:jc w:val="center"/>
              <w:rPr>
                <w:rFonts w:ascii="仿宋" w:hAnsi="仿宋" w:eastAsia="仿宋" w:cs="Calibri"/>
                <w:sz w:val="28"/>
                <w:szCs w:val="28"/>
                <w:highlight w:val="none"/>
              </w:rPr>
            </w:pPr>
          </w:p>
        </w:tc>
        <w:tc>
          <w:tcPr>
            <w:tcW w:w="0" w:type="auto"/>
            <w:tcBorders>
              <w:top w:val="single" w:color="auto" w:sz="4" w:space="0"/>
              <w:left w:val="nil"/>
              <w:bottom w:val="single" w:color="auto" w:sz="4" w:space="0"/>
              <w:right w:val="single" w:color="auto" w:sz="4" w:space="0"/>
            </w:tcBorders>
            <w:noWrap w:val="0"/>
            <w:vAlign w:val="center"/>
          </w:tcPr>
          <w:p>
            <w:pPr>
              <w:spacing w:line="480" w:lineRule="exact"/>
              <w:ind w:firstLine="440" w:firstLineChars="200"/>
              <w:jc w:val="left"/>
              <w:rPr>
                <w:rFonts w:ascii="仿宋" w:hAnsi="仿宋" w:eastAsia="仿宋" w:cs="Calibri"/>
                <w:sz w:val="22"/>
                <w:szCs w:val="22"/>
                <w:highlight w:val="none"/>
              </w:rPr>
            </w:pPr>
            <w:r>
              <w:rPr>
                <w:rFonts w:hint="eastAsia" w:ascii="仿宋" w:hAnsi="仿宋" w:eastAsia="仿宋"/>
                <w:sz w:val="22"/>
                <w:szCs w:val="22"/>
                <w:highlight w:val="none"/>
              </w:rPr>
              <w:t>在初中英语学习的基础上,巩固、扩展学生的基础词汇和基础语法:培养学生听说、读、写的基本技能和运用英语进行交际的能力；使学生能听懂简单对话和短文,能围绕日常话题进行初步交际,能读懂简单应用文,能模拟套写语篇及简单应用文；提高学生自主学习和继续学习的能力,并为学习专门用途英语打下基础。</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default" w:ascii="仿宋" w:hAnsi="仿宋" w:eastAsia="仿宋" w:cs="Calibri"/>
                <w:sz w:val="40"/>
                <w:szCs w:val="40"/>
                <w:highlight w:val="none"/>
                <w:lang w:val="en-US" w:eastAsia="zh-CN"/>
              </w:rPr>
            </w:pPr>
            <w:r>
              <w:rPr>
                <w:rFonts w:hint="eastAsia" w:ascii="仿宋" w:hAnsi="仿宋" w:eastAsia="仿宋"/>
                <w:color w:val="000000"/>
                <w:kern w:val="0"/>
                <w:sz w:val="24"/>
                <w:szCs w:val="24"/>
                <w:highlight w:val="none"/>
                <w:lang w:val="en-US" w:eastAsia="zh-CN"/>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Calibri"/>
                <w:sz w:val="28"/>
                <w:szCs w:val="28"/>
                <w:highlight w:val="none"/>
              </w:rPr>
            </w:pPr>
            <w:r>
              <w:rPr>
                <w:rFonts w:hint="eastAsia" w:ascii="仿宋" w:hAnsi="仿宋" w:eastAsia="仿宋"/>
                <w:sz w:val="28"/>
                <w:szCs w:val="28"/>
                <w:highlight w:val="none"/>
              </w:rPr>
              <w:t>10</w:t>
            </w:r>
          </w:p>
        </w:tc>
        <w:tc>
          <w:tcPr>
            <w:tcW w:w="0" w:type="auto"/>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Calibri"/>
                <w:sz w:val="28"/>
                <w:szCs w:val="28"/>
                <w:highlight w:val="none"/>
              </w:rPr>
            </w:pPr>
            <w:r>
              <w:rPr>
                <w:rFonts w:hint="eastAsia" w:ascii="仿宋" w:hAnsi="仿宋" w:eastAsia="仿宋"/>
                <w:sz w:val="28"/>
                <w:szCs w:val="28"/>
                <w:highlight w:val="none"/>
              </w:rPr>
              <w:t>公</w:t>
            </w:r>
          </w:p>
          <w:p>
            <w:pPr>
              <w:jc w:val="center"/>
              <w:rPr>
                <w:rFonts w:hint="eastAsia" w:ascii="仿宋" w:hAnsi="仿宋" w:eastAsia="仿宋"/>
                <w:sz w:val="28"/>
                <w:szCs w:val="28"/>
                <w:highlight w:val="none"/>
              </w:rPr>
            </w:pPr>
            <w:r>
              <w:rPr>
                <w:rFonts w:hint="eastAsia" w:ascii="仿宋" w:hAnsi="仿宋" w:eastAsia="仿宋"/>
                <w:sz w:val="28"/>
                <w:szCs w:val="28"/>
                <w:highlight w:val="none"/>
              </w:rPr>
              <w:t>共</w:t>
            </w:r>
          </w:p>
          <w:p>
            <w:pPr>
              <w:jc w:val="center"/>
              <w:rPr>
                <w:rFonts w:hint="eastAsia" w:ascii="仿宋" w:hAnsi="仿宋" w:eastAsia="仿宋"/>
                <w:sz w:val="28"/>
                <w:szCs w:val="28"/>
                <w:highlight w:val="none"/>
              </w:rPr>
            </w:pPr>
            <w:r>
              <w:rPr>
                <w:rFonts w:hint="eastAsia" w:ascii="仿宋" w:hAnsi="仿宋" w:eastAsia="仿宋"/>
                <w:sz w:val="28"/>
                <w:szCs w:val="28"/>
                <w:highlight w:val="none"/>
              </w:rPr>
              <w:t>艺</w:t>
            </w:r>
          </w:p>
          <w:p>
            <w:pPr>
              <w:jc w:val="center"/>
              <w:rPr>
                <w:rFonts w:ascii="仿宋" w:hAnsi="仿宋" w:eastAsia="仿宋" w:cs="Calibri"/>
                <w:sz w:val="28"/>
                <w:szCs w:val="28"/>
                <w:highlight w:val="none"/>
              </w:rPr>
            </w:pPr>
            <w:r>
              <w:rPr>
                <w:rFonts w:hint="eastAsia" w:ascii="仿宋" w:hAnsi="仿宋" w:eastAsia="仿宋"/>
                <w:sz w:val="28"/>
                <w:szCs w:val="28"/>
                <w:highlight w:val="none"/>
              </w:rPr>
              <w:t>术</w:t>
            </w:r>
          </w:p>
        </w:tc>
        <w:tc>
          <w:tcPr>
            <w:tcW w:w="0" w:type="auto"/>
            <w:tcBorders>
              <w:top w:val="single" w:color="auto" w:sz="4" w:space="0"/>
              <w:left w:val="nil"/>
              <w:bottom w:val="single" w:color="auto" w:sz="4" w:space="0"/>
              <w:right w:val="single" w:color="auto" w:sz="4" w:space="0"/>
            </w:tcBorders>
            <w:noWrap w:val="0"/>
            <w:vAlign w:val="center"/>
          </w:tcPr>
          <w:p>
            <w:pPr>
              <w:spacing w:line="480" w:lineRule="exact"/>
              <w:ind w:firstLine="440" w:firstLineChars="200"/>
              <w:jc w:val="left"/>
              <w:rPr>
                <w:rFonts w:ascii="仿宋" w:hAnsi="仿宋" w:eastAsia="仿宋" w:cs="Calibri"/>
                <w:sz w:val="22"/>
                <w:szCs w:val="22"/>
                <w:highlight w:val="none"/>
              </w:rPr>
            </w:pPr>
            <w:r>
              <w:rPr>
                <w:rFonts w:hint="eastAsia" w:ascii="仿宋" w:hAnsi="仿宋" w:eastAsia="仿宋"/>
                <w:sz w:val="22"/>
                <w:szCs w:val="22"/>
                <w:highlight w:val="none"/>
              </w:rPr>
              <w:t>依据《中等职业学校公共艺术教学大纲》开设,并注重培养学生艺术欣赏能力,提高学生文化品位和审美素质,培育学生职业素养、创新能力与合作意识等在本专业中的应用能力。</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default" w:ascii="仿宋" w:hAnsi="仿宋" w:eastAsia="仿宋" w:cs="Calibri"/>
                <w:sz w:val="40"/>
                <w:szCs w:val="40"/>
                <w:highlight w:val="none"/>
                <w:lang w:val="en-US" w:eastAsia="zh-CN"/>
              </w:rPr>
            </w:pPr>
            <w:r>
              <w:rPr>
                <w:rFonts w:hint="eastAsia" w:ascii="仿宋" w:hAnsi="仿宋" w:eastAsia="仿宋"/>
                <w:color w:val="000000"/>
                <w:kern w:val="0"/>
                <w:sz w:val="24"/>
                <w:szCs w:val="24"/>
                <w:highlight w:val="none"/>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0"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Calibri"/>
                <w:sz w:val="28"/>
                <w:szCs w:val="28"/>
                <w:highlight w:val="none"/>
              </w:rPr>
            </w:pPr>
            <w:r>
              <w:rPr>
                <w:rFonts w:hint="eastAsia" w:ascii="仿宋" w:hAnsi="仿宋" w:eastAsia="仿宋"/>
                <w:sz w:val="28"/>
                <w:szCs w:val="28"/>
                <w:highlight w:val="none"/>
              </w:rPr>
              <w:t>11</w:t>
            </w:r>
          </w:p>
        </w:tc>
        <w:tc>
          <w:tcPr>
            <w:tcW w:w="0" w:type="auto"/>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Calibri"/>
                <w:sz w:val="28"/>
                <w:szCs w:val="28"/>
                <w:highlight w:val="none"/>
                <w:lang w:eastAsia="zh-CN"/>
              </w:rPr>
            </w:pPr>
            <w:r>
              <w:rPr>
                <w:rFonts w:hint="eastAsia" w:ascii="仿宋" w:hAnsi="仿宋" w:eastAsia="仿宋" w:cs="Calibri"/>
                <w:sz w:val="28"/>
                <w:szCs w:val="28"/>
                <w:highlight w:val="none"/>
                <w:lang w:eastAsia="zh-CN"/>
              </w:rPr>
              <w:t>物理</w:t>
            </w:r>
          </w:p>
        </w:tc>
        <w:tc>
          <w:tcPr>
            <w:tcW w:w="0" w:type="auto"/>
            <w:tcBorders>
              <w:top w:val="single" w:color="auto" w:sz="4" w:space="0"/>
              <w:left w:val="nil"/>
              <w:bottom w:val="single" w:color="auto" w:sz="4" w:space="0"/>
              <w:right w:val="single" w:color="auto" w:sz="4" w:space="0"/>
            </w:tcBorders>
            <w:noWrap w:val="0"/>
            <w:vAlign w:val="center"/>
          </w:tcPr>
          <w:p>
            <w:pPr>
              <w:spacing w:line="480" w:lineRule="exact"/>
              <w:ind w:firstLine="440" w:firstLineChars="200"/>
              <w:jc w:val="left"/>
              <w:rPr>
                <w:rFonts w:ascii="仿宋" w:hAnsi="仿宋" w:eastAsia="仿宋" w:cs="Calibri"/>
                <w:sz w:val="22"/>
                <w:szCs w:val="22"/>
                <w:highlight w:val="none"/>
              </w:rPr>
            </w:pPr>
            <w:r>
              <w:rPr>
                <w:rFonts w:hint="eastAsia" w:ascii="仿宋" w:hAnsi="仿宋" w:eastAsia="仿宋"/>
                <w:sz w:val="22"/>
                <w:szCs w:val="22"/>
                <w:highlight w:val="none"/>
              </w:rPr>
              <w:t xml:space="preserve">使学生掌握必要的物理基础知识和基本技能；了解物理学发展的历程，体验科学探究的过程；激发学生探索自然、认识自然的兴趣，增强学生的创新意识和实践能力；认识物理对科技进步、对文化、经济和社会发展的促进作用，提高学生的科学文化素养；使学生将物理知识和相关专业有机结合，为其学习专业知识和后续发展做好必要的铺垫；帮助学生形成正确的世界观、人生观和价值观。 </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default" w:ascii="仿宋" w:hAnsi="仿宋" w:eastAsia="仿宋" w:cs="Calibri"/>
                <w:sz w:val="40"/>
                <w:szCs w:val="40"/>
                <w:highlight w:val="none"/>
                <w:lang w:val="en-US" w:eastAsia="zh-CN"/>
              </w:rPr>
            </w:pPr>
            <w:r>
              <w:rPr>
                <w:rFonts w:hint="eastAsia" w:ascii="仿宋" w:hAnsi="仿宋" w:eastAsia="仿宋"/>
                <w:color w:val="000000"/>
                <w:kern w:val="0"/>
                <w:sz w:val="24"/>
                <w:szCs w:val="24"/>
                <w:highlight w:val="none"/>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Calibri"/>
                <w:sz w:val="28"/>
                <w:szCs w:val="28"/>
                <w:highlight w:val="none"/>
              </w:rPr>
            </w:pPr>
            <w:r>
              <w:rPr>
                <w:rFonts w:hint="eastAsia" w:ascii="仿宋" w:hAnsi="仿宋" w:eastAsia="仿宋"/>
                <w:sz w:val="28"/>
                <w:szCs w:val="28"/>
                <w:highlight w:val="none"/>
              </w:rPr>
              <w:t>12</w:t>
            </w:r>
          </w:p>
        </w:tc>
        <w:tc>
          <w:tcPr>
            <w:tcW w:w="0" w:type="auto"/>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Calibri"/>
                <w:sz w:val="28"/>
                <w:szCs w:val="28"/>
                <w:highlight w:val="none"/>
              </w:rPr>
            </w:pPr>
          </w:p>
          <w:p>
            <w:pPr>
              <w:jc w:val="center"/>
              <w:rPr>
                <w:rFonts w:hint="eastAsia" w:ascii="仿宋" w:hAnsi="仿宋" w:eastAsia="仿宋"/>
                <w:sz w:val="28"/>
                <w:szCs w:val="28"/>
                <w:highlight w:val="none"/>
              </w:rPr>
            </w:pPr>
            <w:r>
              <w:rPr>
                <w:rFonts w:hint="eastAsia" w:ascii="仿宋" w:hAnsi="仿宋" w:eastAsia="仿宋"/>
                <w:sz w:val="28"/>
                <w:szCs w:val="28"/>
                <w:highlight w:val="none"/>
              </w:rPr>
              <w:t>信</w:t>
            </w:r>
          </w:p>
          <w:p>
            <w:pPr>
              <w:jc w:val="center"/>
              <w:rPr>
                <w:rFonts w:hint="eastAsia" w:ascii="仿宋" w:hAnsi="仿宋" w:eastAsia="仿宋"/>
                <w:sz w:val="28"/>
                <w:szCs w:val="28"/>
                <w:highlight w:val="none"/>
              </w:rPr>
            </w:pPr>
            <w:r>
              <w:rPr>
                <w:rFonts w:hint="eastAsia" w:ascii="仿宋" w:hAnsi="仿宋" w:eastAsia="仿宋"/>
                <w:sz w:val="28"/>
                <w:szCs w:val="28"/>
                <w:highlight w:val="none"/>
              </w:rPr>
              <w:t>息</w:t>
            </w:r>
          </w:p>
          <w:p>
            <w:pPr>
              <w:jc w:val="center"/>
              <w:rPr>
                <w:rFonts w:hint="eastAsia" w:ascii="仿宋" w:hAnsi="仿宋" w:eastAsia="仿宋"/>
                <w:sz w:val="28"/>
                <w:szCs w:val="28"/>
                <w:highlight w:val="none"/>
              </w:rPr>
            </w:pPr>
            <w:r>
              <w:rPr>
                <w:rFonts w:hint="eastAsia" w:ascii="仿宋" w:hAnsi="仿宋" w:eastAsia="仿宋"/>
                <w:sz w:val="28"/>
                <w:szCs w:val="28"/>
                <w:highlight w:val="none"/>
              </w:rPr>
              <w:t>技</w:t>
            </w:r>
          </w:p>
          <w:p>
            <w:pPr>
              <w:jc w:val="center"/>
              <w:rPr>
                <w:rFonts w:ascii="仿宋" w:hAnsi="仿宋" w:eastAsia="仿宋" w:cs="Calibri"/>
                <w:sz w:val="28"/>
                <w:szCs w:val="28"/>
                <w:highlight w:val="none"/>
              </w:rPr>
            </w:pPr>
            <w:r>
              <w:rPr>
                <w:rFonts w:hint="eastAsia" w:ascii="仿宋" w:hAnsi="仿宋" w:eastAsia="仿宋"/>
                <w:sz w:val="28"/>
                <w:szCs w:val="28"/>
                <w:highlight w:val="none"/>
              </w:rPr>
              <w:t>术</w:t>
            </w:r>
          </w:p>
        </w:tc>
        <w:tc>
          <w:tcPr>
            <w:tcW w:w="0" w:type="auto"/>
            <w:tcBorders>
              <w:top w:val="single" w:color="auto" w:sz="4" w:space="0"/>
              <w:left w:val="nil"/>
              <w:bottom w:val="single" w:color="auto" w:sz="4" w:space="0"/>
              <w:right w:val="single" w:color="auto" w:sz="4" w:space="0"/>
            </w:tcBorders>
            <w:noWrap w:val="0"/>
            <w:vAlign w:val="center"/>
          </w:tcPr>
          <w:p>
            <w:pPr>
              <w:spacing w:line="480" w:lineRule="exact"/>
              <w:ind w:firstLine="440" w:firstLineChars="200"/>
              <w:jc w:val="left"/>
              <w:rPr>
                <w:rFonts w:ascii="仿宋" w:hAnsi="仿宋" w:eastAsia="仿宋" w:cs="Calibri"/>
                <w:b/>
                <w:bCs/>
                <w:sz w:val="20"/>
                <w:szCs w:val="20"/>
                <w:highlight w:val="none"/>
              </w:rPr>
            </w:pPr>
            <w:r>
              <w:rPr>
                <w:rFonts w:hint="eastAsia" w:ascii="仿宋" w:hAnsi="仿宋" w:eastAsia="仿宋"/>
                <w:sz w:val="22"/>
                <w:szCs w:val="22"/>
                <w:highlight w:val="none"/>
              </w:rPr>
              <w:t>依据中等职业学校信息技术课程标准开设,中等职业学校信息技术课程要落实立德树人的根本任务,通过理论知识学习基础技能训练和综合应用实践,培养中等职业学校学生符合时代要求的信息素养和适应职业发展需要的信息能力。</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仿宋" w:hAnsi="仿宋" w:eastAsia="仿宋" w:cs="Calibri"/>
                <w:sz w:val="24"/>
                <w:szCs w:val="24"/>
                <w:highlight w:val="none"/>
              </w:rPr>
            </w:pPr>
            <w:r>
              <w:rPr>
                <w:rFonts w:hint="eastAsia" w:ascii="仿宋" w:hAnsi="仿宋" w:eastAsia="仿宋"/>
                <w:color w:val="000000"/>
                <w:kern w:val="0"/>
                <w:sz w:val="24"/>
                <w:szCs w:val="24"/>
                <w:highlight w:val="none"/>
              </w:rPr>
              <w:t>108</w:t>
            </w:r>
          </w:p>
        </w:tc>
      </w:tr>
    </w:tbl>
    <w:p>
      <w:pPr>
        <w:jc w:val="left"/>
        <w:rPr>
          <w:rFonts w:hint="eastAsia" w:ascii="仿宋" w:hAnsi="仿宋" w:eastAsia="仿宋"/>
          <w:sz w:val="28"/>
          <w:szCs w:val="28"/>
          <w:highlight w:val="none"/>
        </w:rPr>
      </w:pPr>
      <w:r>
        <w:rPr>
          <w:rFonts w:hint="eastAsia" w:ascii="仿宋" w:hAnsi="仿宋" w:eastAsia="仿宋"/>
          <w:sz w:val="28"/>
          <w:szCs w:val="28"/>
          <w:highlight w:val="none"/>
        </w:rPr>
        <w:t>（二）专业课程</w:t>
      </w:r>
    </w:p>
    <w:p>
      <w:pPr>
        <w:jc w:val="left"/>
        <w:rPr>
          <w:rFonts w:hint="eastAsia" w:ascii="仿宋" w:hAnsi="仿宋" w:eastAsia="仿宋"/>
          <w:sz w:val="28"/>
          <w:szCs w:val="28"/>
          <w:highlight w:val="none"/>
        </w:rPr>
      </w:pPr>
      <w:r>
        <w:rPr>
          <w:rFonts w:hint="eastAsia" w:ascii="仿宋" w:hAnsi="仿宋" w:eastAsia="仿宋"/>
          <w:sz w:val="28"/>
          <w:szCs w:val="28"/>
          <w:highlight w:val="none"/>
        </w:rPr>
        <w:t>1.专业</w:t>
      </w:r>
      <w:r>
        <w:rPr>
          <w:rFonts w:hint="eastAsia" w:ascii="仿宋" w:hAnsi="仿宋" w:eastAsia="仿宋"/>
          <w:sz w:val="28"/>
          <w:szCs w:val="28"/>
          <w:highlight w:val="none"/>
          <w:lang w:eastAsia="zh-CN"/>
        </w:rPr>
        <w:t>核心</w:t>
      </w:r>
      <w:r>
        <w:rPr>
          <w:rFonts w:hint="eastAsia" w:ascii="仿宋" w:hAnsi="仿宋" w:eastAsia="仿宋"/>
          <w:sz w:val="28"/>
          <w:szCs w:val="28"/>
          <w:highlight w:val="none"/>
        </w:rPr>
        <w:t>课程</w:t>
      </w:r>
    </w:p>
    <w:tbl>
      <w:tblPr>
        <w:tblStyle w:val="13"/>
        <w:tblW w:w="0" w:type="auto"/>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87"/>
        <w:gridCol w:w="956"/>
        <w:gridCol w:w="6687"/>
        <w:gridCol w:w="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1" w:hRule="atLeast"/>
        </w:trPr>
        <w:tc>
          <w:tcPr>
            <w:tcW w:w="0" w:type="auto"/>
            <w:tcBorders>
              <w:top w:val="single" w:color="auto" w:sz="4" w:space="0"/>
              <w:left w:val="single" w:color="auto" w:sz="4" w:space="0"/>
              <w:bottom w:val="single" w:color="auto" w:sz="4" w:space="0"/>
              <w:right w:val="single" w:color="auto" w:sz="4" w:space="0"/>
            </w:tcBorders>
            <w:noWrap w:val="0"/>
            <w:tcMar>
              <w:top w:w="12" w:type="dxa"/>
              <w:left w:w="12" w:type="dxa"/>
              <w:bottom w:w="0" w:type="dxa"/>
              <w:right w:w="12" w:type="dxa"/>
            </w:tcMar>
            <w:vAlign w:val="center"/>
          </w:tcPr>
          <w:p>
            <w:pPr>
              <w:pStyle w:val="7"/>
              <w:snapToGrid w:val="0"/>
              <w:spacing w:line="360" w:lineRule="auto"/>
              <w:jc w:val="left"/>
              <w:rPr>
                <w:rFonts w:ascii="仿宋" w:hAnsi="仿宋" w:eastAsia="仿宋"/>
                <w:sz w:val="22"/>
                <w:szCs w:val="22"/>
                <w:highlight w:val="none"/>
              </w:rPr>
            </w:pPr>
            <w:r>
              <w:rPr>
                <w:rFonts w:hint="eastAsia" w:ascii="仿宋" w:hAnsi="仿宋" w:eastAsia="仿宋"/>
                <w:sz w:val="22"/>
                <w:szCs w:val="22"/>
                <w:highlight w:val="none"/>
              </w:rPr>
              <w:t>序号</w:t>
            </w:r>
          </w:p>
        </w:tc>
        <w:tc>
          <w:tcPr>
            <w:tcW w:w="0" w:type="auto"/>
            <w:tcBorders>
              <w:top w:val="single" w:color="auto" w:sz="4" w:space="0"/>
              <w:left w:val="nil"/>
              <w:bottom w:val="single" w:color="auto" w:sz="4" w:space="0"/>
              <w:right w:val="single" w:color="auto" w:sz="4" w:space="0"/>
            </w:tcBorders>
            <w:noWrap w:val="0"/>
            <w:tcMar>
              <w:top w:w="12" w:type="dxa"/>
              <w:left w:w="12" w:type="dxa"/>
              <w:bottom w:w="0" w:type="dxa"/>
              <w:right w:w="12" w:type="dxa"/>
            </w:tcMar>
            <w:vAlign w:val="center"/>
          </w:tcPr>
          <w:p>
            <w:pPr>
              <w:pStyle w:val="7"/>
              <w:snapToGrid w:val="0"/>
              <w:spacing w:line="360" w:lineRule="auto"/>
              <w:jc w:val="left"/>
              <w:rPr>
                <w:rFonts w:ascii="仿宋" w:hAnsi="仿宋" w:eastAsia="仿宋"/>
                <w:sz w:val="22"/>
                <w:szCs w:val="22"/>
                <w:highlight w:val="none"/>
              </w:rPr>
            </w:pPr>
            <w:r>
              <w:rPr>
                <w:rFonts w:hint="eastAsia" w:ascii="仿宋" w:hAnsi="仿宋" w:eastAsia="仿宋"/>
                <w:sz w:val="22"/>
                <w:szCs w:val="22"/>
                <w:highlight w:val="none"/>
              </w:rPr>
              <w:t>课程名称</w:t>
            </w:r>
          </w:p>
        </w:tc>
        <w:tc>
          <w:tcPr>
            <w:tcW w:w="0" w:type="auto"/>
            <w:tcBorders>
              <w:top w:val="single" w:color="auto" w:sz="4" w:space="0"/>
              <w:left w:val="nil"/>
              <w:bottom w:val="single" w:color="auto" w:sz="4" w:space="0"/>
              <w:right w:val="single" w:color="auto" w:sz="4" w:space="0"/>
            </w:tcBorders>
            <w:noWrap w:val="0"/>
            <w:tcMar>
              <w:top w:w="12" w:type="dxa"/>
              <w:left w:w="12" w:type="dxa"/>
              <w:bottom w:w="0" w:type="dxa"/>
              <w:right w:w="12" w:type="dxa"/>
            </w:tcMar>
            <w:vAlign w:val="center"/>
          </w:tcPr>
          <w:p>
            <w:pPr>
              <w:pStyle w:val="7"/>
              <w:snapToGrid w:val="0"/>
              <w:spacing w:line="360" w:lineRule="auto"/>
              <w:jc w:val="left"/>
              <w:rPr>
                <w:rFonts w:ascii="仿宋" w:hAnsi="仿宋" w:eastAsia="仿宋"/>
                <w:sz w:val="22"/>
                <w:szCs w:val="22"/>
                <w:highlight w:val="none"/>
              </w:rPr>
            </w:pPr>
            <w:r>
              <w:rPr>
                <w:rFonts w:hint="eastAsia" w:ascii="仿宋" w:hAnsi="仿宋" w:eastAsia="仿宋"/>
                <w:sz w:val="22"/>
                <w:szCs w:val="22"/>
                <w:highlight w:val="none"/>
              </w:rPr>
              <w:t>主要教学内容和要求</w:t>
            </w:r>
          </w:p>
        </w:tc>
        <w:tc>
          <w:tcPr>
            <w:tcW w:w="0" w:type="auto"/>
            <w:tcBorders>
              <w:top w:val="single" w:color="auto" w:sz="4" w:space="0"/>
              <w:left w:val="nil"/>
              <w:bottom w:val="single" w:color="auto" w:sz="4" w:space="0"/>
              <w:right w:val="single" w:color="auto" w:sz="4" w:space="0"/>
            </w:tcBorders>
            <w:noWrap w:val="0"/>
            <w:tcMar>
              <w:top w:w="12" w:type="dxa"/>
              <w:left w:w="12" w:type="dxa"/>
              <w:bottom w:w="0" w:type="dxa"/>
              <w:right w:w="12" w:type="dxa"/>
            </w:tcMar>
            <w:vAlign w:val="center"/>
          </w:tcPr>
          <w:p>
            <w:pPr>
              <w:pStyle w:val="7"/>
              <w:snapToGrid w:val="0"/>
              <w:spacing w:line="360" w:lineRule="auto"/>
              <w:jc w:val="left"/>
              <w:rPr>
                <w:rFonts w:ascii="仿宋" w:hAnsi="仿宋" w:eastAsia="仿宋"/>
                <w:sz w:val="22"/>
                <w:szCs w:val="22"/>
                <w:highlight w:val="none"/>
              </w:rPr>
            </w:pPr>
            <w:r>
              <w:rPr>
                <w:rFonts w:hint="eastAsia" w:ascii="仿宋" w:hAnsi="仿宋" w:eastAsia="仿宋"/>
                <w:sz w:val="22"/>
                <w:szCs w:val="22"/>
                <w:highlight w:val="none"/>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trPr>
        <w:tc>
          <w:tcPr>
            <w:tcW w:w="0" w:type="auto"/>
            <w:tcBorders>
              <w:top w:val="single" w:color="auto" w:sz="4" w:space="0"/>
              <w:left w:val="single" w:color="auto" w:sz="4" w:space="0"/>
              <w:bottom w:val="single" w:color="auto" w:sz="4" w:space="0"/>
              <w:right w:val="single" w:color="auto" w:sz="4" w:space="0"/>
            </w:tcBorders>
            <w:noWrap w:val="0"/>
            <w:tcMar>
              <w:top w:w="12" w:type="dxa"/>
              <w:left w:w="12" w:type="dxa"/>
              <w:bottom w:w="0" w:type="dxa"/>
              <w:right w:w="12" w:type="dxa"/>
            </w:tcMar>
            <w:vAlign w:val="center"/>
          </w:tcPr>
          <w:p>
            <w:pPr>
              <w:pStyle w:val="7"/>
              <w:snapToGrid w:val="0"/>
              <w:spacing w:line="360" w:lineRule="auto"/>
              <w:jc w:val="left"/>
              <w:rPr>
                <w:rFonts w:ascii="仿宋" w:hAnsi="仿宋" w:eastAsia="仿宋"/>
                <w:sz w:val="22"/>
                <w:szCs w:val="22"/>
                <w:highlight w:val="none"/>
              </w:rPr>
            </w:pPr>
            <w:r>
              <w:rPr>
                <w:rFonts w:hint="eastAsia" w:ascii="仿宋" w:hAnsi="仿宋" w:eastAsia="仿宋"/>
                <w:sz w:val="22"/>
                <w:szCs w:val="22"/>
                <w:highlight w:val="none"/>
              </w:rPr>
              <w:t>1</w:t>
            </w:r>
          </w:p>
        </w:tc>
        <w:tc>
          <w:tcPr>
            <w:tcW w:w="0" w:type="auto"/>
            <w:tcBorders>
              <w:top w:val="single" w:color="auto" w:sz="4" w:space="0"/>
              <w:left w:val="nil"/>
              <w:bottom w:val="single" w:color="auto" w:sz="4" w:space="0"/>
              <w:right w:val="single" w:color="auto" w:sz="4" w:space="0"/>
            </w:tcBorders>
            <w:noWrap w:val="0"/>
            <w:tcMar>
              <w:top w:w="12" w:type="dxa"/>
              <w:left w:w="12" w:type="dxa"/>
              <w:bottom w:w="0" w:type="dxa"/>
              <w:right w:w="12" w:type="dxa"/>
            </w:tcMar>
            <w:vAlign w:val="center"/>
          </w:tcPr>
          <w:p>
            <w:pPr>
              <w:jc w:val="center"/>
              <w:rPr>
                <w:rFonts w:hint="eastAsia" w:ascii="仿宋" w:hAnsi="仿宋" w:eastAsia="仿宋" w:cs="Times New Roman"/>
                <w:sz w:val="28"/>
                <w:szCs w:val="28"/>
                <w:highlight w:val="none"/>
              </w:rPr>
            </w:pPr>
            <w:r>
              <w:rPr>
                <w:rFonts w:hint="eastAsia" w:ascii="仿宋" w:hAnsi="仿宋" w:eastAsia="仿宋" w:cs="Times New Roman"/>
                <w:sz w:val="28"/>
                <w:szCs w:val="28"/>
                <w:highlight w:val="none"/>
                <w:lang w:val="en-US" w:eastAsia="zh-CN"/>
              </w:rPr>
              <w:t>汽车</w:t>
            </w:r>
          </w:p>
          <w:p>
            <w:pPr>
              <w:jc w:val="center"/>
              <w:rPr>
                <w:rFonts w:hint="eastAsia" w:ascii="仿宋" w:hAnsi="仿宋" w:eastAsia="仿宋" w:cs="Times New Roman"/>
                <w:sz w:val="28"/>
                <w:szCs w:val="28"/>
                <w:highlight w:val="none"/>
              </w:rPr>
            </w:pPr>
            <w:r>
              <w:rPr>
                <w:rFonts w:hint="eastAsia" w:ascii="仿宋" w:hAnsi="仿宋" w:eastAsia="仿宋" w:cs="Times New Roman"/>
                <w:sz w:val="28"/>
                <w:szCs w:val="28"/>
                <w:highlight w:val="none"/>
                <w:lang w:val="en-US" w:eastAsia="zh-CN"/>
              </w:rPr>
              <w:t>机械</w:t>
            </w:r>
          </w:p>
          <w:p>
            <w:pPr>
              <w:jc w:val="center"/>
              <w:rPr>
                <w:rFonts w:hint="eastAsia" w:ascii="仿宋" w:hAnsi="仿宋" w:eastAsia="仿宋" w:cs="Times New Roman"/>
                <w:sz w:val="28"/>
                <w:szCs w:val="28"/>
                <w:highlight w:val="none"/>
              </w:rPr>
            </w:pPr>
            <w:r>
              <w:rPr>
                <w:rFonts w:hint="eastAsia" w:ascii="仿宋" w:hAnsi="仿宋" w:eastAsia="仿宋" w:cs="Times New Roman"/>
                <w:sz w:val="28"/>
                <w:szCs w:val="28"/>
                <w:highlight w:val="none"/>
                <w:lang w:val="en-US" w:eastAsia="zh-CN"/>
              </w:rPr>
              <w:t>基础</w:t>
            </w:r>
          </w:p>
          <w:p>
            <w:pPr>
              <w:pStyle w:val="7"/>
              <w:snapToGrid w:val="0"/>
              <w:spacing w:line="360" w:lineRule="auto"/>
              <w:jc w:val="left"/>
              <w:rPr>
                <w:rFonts w:ascii="仿宋" w:hAnsi="仿宋" w:eastAsia="仿宋"/>
                <w:sz w:val="22"/>
                <w:szCs w:val="22"/>
                <w:highlight w:val="none"/>
              </w:rPr>
            </w:pPr>
          </w:p>
        </w:tc>
        <w:tc>
          <w:tcPr>
            <w:tcW w:w="0" w:type="auto"/>
            <w:tcBorders>
              <w:top w:val="single" w:color="auto" w:sz="4" w:space="0"/>
              <w:left w:val="nil"/>
              <w:bottom w:val="single" w:color="auto" w:sz="4" w:space="0"/>
              <w:right w:val="single" w:color="auto" w:sz="4" w:space="0"/>
            </w:tcBorders>
            <w:noWrap w:val="0"/>
            <w:tcMar>
              <w:top w:w="12" w:type="dxa"/>
              <w:left w:w="12" w:type="dxa"/>
              <w:bottom w:w="0" w:type="dxa"/>
              <w:right w:w="12" w:type="dxa"/>
            </w:tcMar>
            <w:vAlign w:val="top"/>
          </w:tcPr>
          <w:p>
            <w:pPr>
              <w:spacing w:line="480" w:lineRule="exact"/>
              <w:ind w:firstLine="440" w:firstLineChars="200"/>
              <w:jc w:val="left"/>
              <w:rPr>
                <w:rFonts w:hint="eastAsia" w:ascii="仿宋" w:hAnsi="仿宋" w:eastAsia="仿宋" w:cs="Times New Roman"/>
                <w:sz w:val="22"/>
                <w:szCs w:val="22"/>
                <w:highlight w:val="none"/>
              </w:rPr>
            </w:pPr>
            <w:r>
              <w:rPr>
                <w:rFonts w:hint="eastAsia" w:ascii="仿宋" w:hAnsi="仿宋" w:eastAsia="仿宋" w:cs="Times New Roman"/>
                <w:sz w:val="22"/>
                <w:szCs w:val="22"/>
                <w:highlight w:val="none"/>
                <w:lang w:val="en-US" w:eastAsia="zh-CN"/>
              </w:rPr>
              <w:t xml:space="preserve">了解工程力学基础知识；理解液压传动基本原理，能对简单液压系统进行分析；掌握常用机构、机械零件的有关知识；能结合汽车运行过程中的实 </w:t>
            </w:r>
          </w:p>
          <w:p>
            <w:pPr>
              <w:spacing w:line="480" w:lineRule="exact"/>
              <w:jc w:val="left"/>
              <w:rPr>
                <w:rFonts w:hint="eastAsia" w:ascii="仿宋" w:hAnsi="仿宋" w:eastAsia="仿宋" w:cs="Times New Roman"/>
                <w:sz w:val="22"/>
                <w:szCs w:val="22"/>
                <w:highlight w:val="none"/>
              </w:rPr>
            </w:pPr>
            <w:r>
              <w:rPr>
                <w:rFonts w:hint="eastAsia" w:ascii="仿宋" w:hAnsi="仿宋" w:eastAsia="仿宋" w:cs="Times New Roman"/>
                <w:sz w:val="22"/>
                <w:szCs w:val="22"/>
                <w:highlight w:val="none"/>
                <w:lang w:val="en-US" w:eastAsia="zh-CN"/>
              </w:rPr>
              <w:t xml:space="preserve">际情况对力、摩擦、转速、功率、机械效率和形变有一定的认识和分析；熟练掌握游标卡尺、外径千分尺、百分表等常用工量具的规范正确使用，培养 </w:t>
            </w:r>
          </w:p>
          <w:p>
            <w:pPr>
              <w:spacing w:line="480" w:lineRule="exact"/>
              <w:jc w:val="left"/>
              <w:rPr>
                <w:rFonts w:ascii="仿宋" w:hAnsi="仿宋" w:eastAsia="仿宋"/>
                <w:sz w:val="22"/>
                <w:szCs w:val="22"/>
                <w:highlight w:val="none"/>
              </w:rPr>
            </w:pPr>
            <w:r>
              <w:rPr>
                <w:rFonts w:hint="eastAsia" w:ascii="仿宋" w:hAnsi="仿宋" w:eastAsia="仿宋" w:cs="Times New Roman"/>
                <w:sz w:val="22"/>
                <w:szCs w:val="22"/>
                <w:highlight w:val="none"/>
                <w:lang w:val="en-US" w:eastAsia="zh-CN"/>
              </w:rPr>
              <w:t>学生基本的实践能力和分析、解决问题的能力。</w:t>
            </w:r>
          </w:p>
        </w:tc>
        <w:tc>
          <w:tcPr>
            <w:tcW w:w="0" w:type="auto"/>
            <w:tcBorders>
              <w:top w:val="single" w:color="auto" w:sz="4" w:space="0"/>
              <w:left w:val="nil"/>
              <w:bottom w:val="single" w:color="auto" w:sz="4" w:space="0"/>
              <w:right w:val="single" w:color="auto" w:sz="4" w:space="0"/>
            </w:tcBorders>
            <w:noWrap w:val="0"/>
            <w:tcMar>
              <w:top w:w="12" w:type="dxa"/>
              <w:left w:w="12" w:type="dxa"/>
              <w:bottom w:w="0" w:type="dxa"/>
              <w:right w:w="12" w:type="dxa"/>
            </w:tcMar>
            <w:vAlign w:val="center"/>
          </w:tcPr>
          <w:p>
            <w:pPr>
              <w:pStyle w:val="7"/>
              <w:snapToGrid w:val="0"/>
              <w:spacing w:line="360" w:lineRule="auto"/>
              <w:jc w:val="left"/>
              <w:rPr>
                <w:rFonts w:hint="default" w:ascii="仿宋" w:hAnsi="仿宋" w:eastAsia="仿宋"/>
                <w:sz w:val="22"/>
                <w:szCs w:val="22"/>
                <w:highlight w:val="none"/>
                <w:lang w:val="en-US" w:eastAsia="zh-CN"/>
              </w:rPr>
            </w:pPr>
            <w:r>
              <w:rPr>
                <w:rFonts w:hint="eastAsia" w:ascii="仿宋" w:hAnsi="仿宋" w:eastAsia="仿宋"/>
                <w:sz w:val="22"/>
                <w:szCs w:val="22"/>
                <w:highlight w:val="none"/>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6" w:hRule="atLeast"/>
        </w:trPr>
        <w:tc>
          <w:tcPr>
            <w:tcW w:w="0" w:type="auto"/>
            <w:tcBorders>
              <w:top w:val="single" w:color="auto" w:sz="4" w:space="0"/>
              <w:left w:val="single" w:color="auto" w:sz="4" w:space="0"/>
              <w:bottom w:val="single" w:color="auto" w:sz="4" w:space="0"/>
              <w:right w:val="single" w:color="auto" w:sz="4" w:space="0"/>
            </w:tcBorders>
            <w:noWrap w:val="0"/>
            <w:tcMar>
              <w:top w:w="12" w:type="dxa"/>
              <w:left w:w="12" w:type="dxa"/>
              <w:bottom w:w="0" w:type="dxa"/>
              <w:right w:w="12" w:type="dxa"/>
            </w:tcMar>
            <w:vAlign w:val="center"/>
          </w:tcPr>
          <w:p>
            <w:pPr>
              <w:pStyle w:val="7"/>
              <w:snapToGrid w:val="0"/>
              <w:spacing w:line="360" w:lineRule="auto"/>
              <w:jc w:val="left"/>
              <w:rPr>
                <w:rFonts w:ascii="仿宋" w:hAnsi="仿宋" w:eastAsia="仿宋"/>
                <w:sz w:val="22"/>
                <w:szCs w:val="22"/>
                <w:highlight w:val="none"/>
              </w:rPr>
            </w:pPr>
            <w:r>
              <w:rPr>
                <w:rFonts w:hint="eastAsia" w:ascii="仿宋" w:hAnsi="仿宋" w:eastAsia="仿宋"/>
                <w:sz w:val="22"/>
                <w:szCs w:val="22"/>
                <w:highlight w:val="none"/>
              </w:rPr>
              <w:t>2</w:t>
            </w:r>
          </w:p>
        </w:tc>
        <w:tc>
          <w:tcPr>
            <w:tcW w:w="0" w:type="auto"/>
            <w:tcBorders>
              <w:top w:val="single" w:color="auto" w:sz="4" w:space="0"/>
              <w:left w:val="nil"/>
              <w:bottom w:val="single" w:color="auto" w:sz="4" w:space="0"/>
              <w:right w:val="single" w:color="auto" w:sz="4" w:space="0"/>
            </w:tcBorders>
            <w:noWrap w:val="0"/>
            <w:tcMar>
              <w:top w:w="12" w:type="dxa"/>
              <w:left w:w="12" w:type="dxa"/>
              <w:bottom w:w="0" w:type="dxa"/>
              <w:right w:w="12" w:type="dxa"/>
            </w:tcMar>
            <w:vAlign w:val="center"/>
          </w:tcPr>
          <w:p>
            <w:pPr>
              <w:jc w:val="center"/>
              <w:rPr>
                <w:rFonts w:hint="eastAsia" w:ascii="仿宋" w:hAnsi="仿宋" w:eastAsia="仿宋" w:cs="Times New Roman"/>
                <w:sz w:val="28"/>
                <w:szCs w:val="28"/>
                <w:highlight w:val="none"/>
                <w:lang w:val="en-US" w:eastAsia="zh-CN"/>
              </w:rPr>
            </w:pPr>
            <w:r>
              <w:rPr>
                <w:rFonts w:hint="eastAsia" w:ascii="仿宋" w:hAnsi="仿宋" w:eastAsia="仿宋" w:cs="Times New Roman"/>
                <w:sz w:val="28"/>
                <w:szCs w:val="28"/>
                <w:highlight w:val="none"/>
                <w:lang w:val="en-US" w:eastAsia="zh-CN"/>
              </w:rPr>
              <w:t>汽车机械识图</w:t>
            </w:r>
          </w:p>
        </w:tc>
        <w:tc>
          <w:tcPr>
            <w:tcW w:w="0" w:type="auto"/>
            <w:tcBorders>
              <w:top w:val="single" w:color="auto" w:sz="4" w:space="0"/>
              <w:left w:val="nil"/>
              <w:bottom w:val="single" w:color="auto" w:sz="4" w:space="0"/>
              <w:right w:val="single" w:color="auto" w:sz="4" w:space="0"/>
            </w:tcBorders>
            <w:noWrap w:val="0"/>
            <w:tcMar>
              <w:top w:w="12" w:type="dxa"/>
              <w:left w:w="12" w:type="dxa"/>
              <w:bottom w:w="0" w:type="dxa"/>
              <w:right w:w="12" w:type="dxa"/>
            </w:tcMar>
            <w:vAlign w:val="top"/>
          </w:tcPr>
          <w:p>
            <w:pPr>
              <w:spacing w:line="480" w:lineRule="exact"/>
              <w:jc w:val="left"/>
              <w:rPr>
                <w:rFonts w:hint="eastAsia" w:ascii="仿宋" w:hAnsi="仿宋" w:eastAsia="仿宋" w:cs="Times New Roman"/>
                <w:sz w:val="22"/>
                <w:szCs w:val="22"/>
                <w:highlight w:val="none"/>
                <w:lang w:val="en-US" w:eastAsia="zh-CN"/>
              </w:rPr>
            </w:pPr>
            <w:r>
              <w:rPr>
                <w:rFonts w:hint="eastAsia" w:ascii="仿宋" w:hAnsi="仿宋" w:eastAsia="仿宋" w:cs="Times New Roman"/>
                <w:sz w:val="22"/>
                <w:szCs w:val="22"/>
                <w:highlight w:val="none"/>
                <w:lang w:val="en-US" w:eastAsia="zh-CN"/>
              </w:rPr>
              <w:t xml:space="preserve">结合汽车产品及其零部件的图样学习机械制图的基本知识、熟悉机械制图、公差配合、形位公差及表面质量的国家标准。通过本课程的学习，使学 </w:t>
            </w:r>
          </w:p>
          <w:p>
            <w:pPr>
              <w:spacing w:line="480" w:lineRule="exact"/>
              <w:jc w:val="left"/>
              <w:rPr>
                <w:rFonts w:ascii="仿宋" w:hAnsi="仿宋" w:eastAsia="仿宋"/>
                <w:sz w:val="22"/>
                <w:szCs w:val="22"/>
                <w:highlight w:val="none"/>
              </w:rPr>
            </w:pPr>
            <w:r>
              <w:rPr>
                <w:rFonts w:hint="eastAsia" w:ascii="仿宋" w:hAnsi="仿宋" w:eastAsia="仿宋" w:cs="Times New Roman"/>
                <w:sz w:val="22"/>
                <w:szCs w:val="22"/>
                <w:highlight w:val="none"/>
                <w:lang w:val="en-US" w:eastAsia="zh-CN"/>
              </w:rPr>
              <w:t>生读懂汽车机械图样，理解相关的工程技术要求。</w:t>
            </w:r>
          </w:p>
        </w:tc>
        <w:tc>
          <w:tcPr>
            <w:tcW w:w="0" w:type="auto"/>
            <w:tcBorders>
              <w:top w:val="single" w:color="auto" w:sz="4" w:space="0"/>
              <w:left w:val="nil"/>
              <w:bottom w:val="single" w:color="auto" w:sz="4" w:space="0"/>
              <w:right w:val="single" w:color="auto" w:sz="4" w:space="0"/>
            </w:tcBorders>
            <w:noWrap w:val="0"/>
            <w:tcMar>
              <w:top w:w="12" w:type="dxa"/>
              <w:left w:w="12" w:type="dxa"/>
              <w:bottom w:w="0" w:type="dxa"/>
              <w:right w:w="12" w:type="dxa"/>
            </w:tcMar>
            <w:vAlign w:val="center"/>
          </w:tcPr>
          <w:p>
            <w:pPr>
              <w:pStyle w:val="7"/>
              <w:snapToGrid w:val="0"/>
              <w:spacing w:line="360" w:lineRule="auto"/>
              <w:jc w:val="left"/>
              <w:rPr>
                <w:rFonts w:hint="default" w:ascii="仿宋" w:hAnsi="仿宋" w:eastAsia="仿宋"/>
                <w:sz w:val="22"/>
                <w:szCs w:val="22"/>
                <w:highlight w:val="none"/>
                <w:lang w:val="en-US" w:eastAsia="zh-CN"/>
              </w:rPr>
            </w:pPr>
            <w:r>
              <w:rPr>
                <w:rFonts w:hint="eastAsia" w:ascii="仿宋" w:hAnsi="仿宋" w:eastAsia="仿宋"/>
                <w:sz w:val="22"/>
                <w:szCs w:val="22"/>
                <w:highlight w:val="none"/>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8" w:hRule="atLeast"/>
        </w:trPr>
        <w:tc>
          <w:tcPr>
            <w:tcW w:w="0" w:type="auto"/>
            <w:tcBorders>
              <w:top w:val="single" w:color="auto" w:sz="4" w:space="0"/>
              <w:left w:val="single" w:color="auto" w:sz="4" w:space="0"/>
              <w:bottom w:val="single" w:color="auto" w:sz="4" w:space="0"/>
              <w:right w:val="single" w:color="auto" w:sz="4" w:space="0"/>
            </w:tcBorders>
            <w:noWrap w:val="0"/>
            <w:tcMar>
              <w:top w:w="12" w:type="dxa"/>
              <w:left w:w="12" w:type="dxa"/>
              <w:bottom w:w="0" w:type="dxa"/>
              <w:right w:w="12" w:type="dxa"/>
            </w:tcMar>
            <w:vAlign w:val="center"/>
          </w:tcPr>
          <w:p>
            <w:pPr>
              <w:pStyle w:val="7"/>
              <w:snapToGrid w:val="0"/>
              <w:spacing w:line="360" w:lineRule="auto"/>
              <w:jc w:val="left"/>
              <w:rPr>
                <w:rFonts w:ascii="仿宋" w:hAnsi="仿宋" w:eastAsia="仿宋"/>
                <w:sz w:val="22"/>
                <w:szCs w:val="22"/>
                <w:highlight w:val="none"/>
              </w:rPr>
            </w:pPr>
            <w:r>
              <w:rPr>
                <w:rFonts w:hint="eastAsia" w:ascii="仿宋" w:hAnsi="仿宋" w:eastAsia="仿宋"/>
                <w:sz w:val="22"/>
                <w:szCs w:val="22"/>
                <w:highlight w:val="none"/>
              </w:rPr>
              <w:t>3</w:t>
            </w:r>
          </w:p>
        </w:tc>
        <w:tc>
          <w:tcPr>
            <w:tcW w:w="0" w:type="auto"/>
            <w:tcBorders>
              <w:top w:val="single" w:color="auto" w:sz="4" w:space="0"/>
              <w:left w:val="nil"/>
              <w:bottom w:val="single" w:color="auto" w:sz="4" w:space="0"/>
              <w:right w:val="single" w:color="auto" w:sz="4" w:space="0"/>
            </w:tcBorders>
            <w:noWrap w:val="0"/>
            <w:tcMar>
              <w:top w:w="12" w:type="dxa"/>
              <w:left w:w="12" w:type="dxa"/>
              <w:bottom w:w="0" w:type="dxa"/>
              <w:right w:w="12" w:type="dxa"/>
            </w:tcMar>
            <w:vAlign w:val="center"/>
          </w:tcPr>
          <w:p>
            <w:pPr>
              <w:jc w:val="center"/>
              <w:rPr>
                <w:rFonts w:hint="eastAsia" w:ascii="仿宋" w:hAnsi="仿宋" w:eastAsia="仿宋" w:cs="Times New Roman"/>
                <w:sz w:val="28"/>
                <w:szCs w:val="28"/>
                <w:highlight w:val="none"/>
                <w:lang w:val="en-US" w:eastAsia="zh-CN"/>
              </w:rPr>
            </w:pPr>
            <w:r>
              <w:rPr>
                <w:rFonts w:hint="eastAsia" w:ascii="仿宋" w:hAnsi="仿宋" w:eastAsia="仿宋" w:cs="Times New Roman"/>
                <w:sz w:val="28"/>
                <w:szCs w:val="28"/>
                <w:highlight w:val="none"/>
                <w:lang w:val="en-US" w:eastAsia="zh-CN"/>
              </w:rPr>
              <w:t>电工基础</w:t>
            </w:r>
          </w:p>
        </w:tc>
        <w:tc>
          <w:tcPr>
            <w:tcW w:w="0" w:type="auto"/>
            <w:tcBorders>
              <w:top w:val="single" w:color="auto" w:sz="4" w:space="0"/>
              <w:left w:val="nil"/>
              <w:bottom w:val="single" w:color="auto" w:sz="4" w:space="0"/>
              <w:right w:val="single" w:color="auto" w:sz="4" w:space="0"/>
            </w:tcBorders>
            <w:noWrap w:val="0"/>
            <w:tcMar>
              <w:top w:w="12" w:type="dxa"/>
              <w:left w:w="12" w:type="dxa"/>
              <w:bottom w:w="0" w:type="dxa"/>
              <w:right w:w="12" w:type="dxa"/>
            </w:tcMar>
            <w:vAlign w:val="top"/>
          </w:tcPr>
          <w:p>
            <w:pPr>
              <w:spacing w:line="480" w:lineRule="exact"/>
              <w:jc w:val="left"/>
              <w:rPr>
                <w:rFonts w:hint="eastAsia" w:ascii="仿宋" w:hAnsi="仿宋" w:eastAsia="仿宋" w:cs="Times New Roman"/>
                <w:sz w:val="22"/>
                <w:szCs w:val="22"/>
                <w:highlight w:val="none"/>
                <w:lang w:val="en-US" w:eastAsia="zh-CN"/>
              </w:rPr>
            </w:pPr>
            <w:r>
              <w:rPr>
                <w:rFonts w:hint="eastAsia" w:ascii="仿宋" w:hAnsi="仿宋" w:eastAsia="仿宋" w:cs="Times New Roman"/>
                <w:sz w:val="22"/>
                <w:szCs w:val="22"/>
                <w:highlight w:val="none"/>
                <w:lang w:val="en-US" w:eastAsia="zh-CN"/>
              </w:rPr>
              <w:t>一、直流电路</w:t>
            </w:r>
          </w:p>
          <w:p>
            <w:pPr>
              <w:spacing w:line="480" w:lineRule="exact"/>
              <w:jc w:val="left"/>
              <w:rPr>
                <w:rFonts w:hint="eastAsia" w:ascii="仿宋" w:hAnsi="仿宋" w:eastAsia="仿宋" w:cs="Times New Roman"/>
                <w:sz w:val="22"/>
                <w:szCs w:val="22"/>
                <w:highlight w:val="none"/>
                <w:lang w:val="en-US" w:eastAsia="zh-CN"/>
              </w:rPr>
            </w:pPr>
            <w:r>
              <w:rPr>
                <w:rFonts w:hint="eastAsia" w:ascii="仿宋" w:hAnsi="仿宋" w:eastAsia="仿宋" w:cs="Times New Roman"/>
                <w:sz w:val="22"/>
                <w:szCs w:val="22"/>
                <w:highlight w:val="none"/>
                <w:lang w:val="en-US" w:eastAsia="zh-CN"/>
              </w:rPr>
              <w:t xml:space="preserve">二、电容和电感 </w:t>
            </w:r>
          </w:p>
          <w:p>
            <w:pPr>
              <w:spacing w:line="480" w:lineRule="exact"/>
              <w:jc w:val="left"/>
              <w:rPr>
                <w:rFonts w:hint="eastAsia" w:ascii="仿宋" w:hAnsi="仿宋" w:eastAsia="仿宋" w:cs="Times New Roman"/>
                <w:sz w:val="22"/>
                <w:szCs w:val="22"/>
                <w:highlight w:val="none"/>
                <w:lang w:val="en-US" w:eastAsia="zh-CN"/>
              </w:rPr>
            </w:pPr>
            <w:r>
              <w:rPr>
                <w:rFonts w:hint="eastAsia" w:ascii="仿宋" w:hAnsi="仿宋" w:eastAsia="仿宋" w:cs="Times New Roman"/>
                <w:sz w:val="22"/>
                <w:szCs w:val="22"/>
                <w:highlight w:val="none"/>
                <w:lang w:val="en-US" w:eastAsia="zh-CN"/>
              </w:rPr>
              <w:t>三、单相正弦交流电路</w:t>
            </w:r>
          </w:p>
          <w:p>
            <w:pPr>
              <w:spacing w:line="480" w:lineRule="exact"/>
              <w:jc w:val="left"/>
              <w:rPr>
                <w:rFonts w:hint="eastAsia" w:ascii="仿宋" w:hAnsi="仿宋" w:eastAsia="仿宋" w:cs="Times New Roman"/>
                <w:sz w:val="22"/>
                <w:szCs w:val="22"/>
                <w:highlight w:val="none"/>
                <w:lang w:val="en-US" w:eastAsia="zh-CN"/>
              </w:rPr>
            </w:pPr>
            <w:r>
              <w:rPr>
                <w:rFonts w:hint="eastAsia" w:ascii="仿宋" w:hAnsi="仿宋" w:eastAsia="仿宋" w:cs="Times New Roman"/>
                <w:sz w:val="22"/>
                <w:szCs w:val="22"/>
                <w:highlight w:val="none"/>
                <w:lang w:val="en-US" w:eastAsia="zh-CN"/>
              </w:rPr>
              <w:t>四、三相正弦交流电路</w:t>
            </w:r>
          </w:p>
          <w:p>
            <w:pPr>
              <w:spacing w:line="480" w:lineRule="exact"/>
              <w:jc w:val="left"/>
              <w:rPr>
                <w:rFonts w:ascii="仿宋" w:hAnsi="仿宋" w:eastAsia="仿宋"/>
                <w:sz w:val="22"/>
                <w:szCs w:val="22"/>
                <w:highlight w:val="none"/>
              </w:rPr>
            </w:pPr>
            <w:r>
              <w:rPr>
                <w:rFonts w:hint="eastAsia" w:ascii="仿宋" w:hAnsi="仿宋" w:eastAsia="仿宋" w:cs="Times New Roman"/>
                <w:sz w:val="22"/>
                <w:szCs w:val="22"/>
                <w:highlight w:val="none"/>
                <w:lang w:val="en-US" w:eastAsia="zh-CN"/>
              </w:rPr>
              <w:t>五、安全用电</w:t>
            </w:r>
          </w:p>
        </w:tc>
        <w:tc>
          <w:tcPr>
            <w:tcW w:w="0" w:type="auto"/>
            <w:tcBorders>
              <w:top w:val="single" w:color="auto" w:sz="4" w:space="0"/>
              <w:left w:val="nil"/>
              <w:bottom w:val="single" w:color="auto" w:sz="4" w:space="0"/>
              <w:right w:val="single" w:color="auto" w:sz="4" w:space="0"/>
            </w:tcBorders>
            <w:noWrap w:val="0"/>
            <w:tcMar>
              <w:top w:w="12" w:type="dxa"/>
              <w:left w:w="12" w:type="dxa"/>
              <w:bottom w:w="0" w:type="dxa"/>
              <w:right w:w="12" w:type="dxa"/>
            </w:tcMar>
            <w:vAlign w:val="center"/>
          </w:tcPr>
          <w:p>
            <w:pPr>
              <w:pStyle w:val="7"/>
              <w:snapToGrid w:val="0"/>
              <w:spacing w:line="360" w:lineRule="auto"/>
              <w:jc w:val="left"/>
              <w:rPr>
                <w:rFonts w:hint="default" w:ascii="仿宋" w:hAnsi="仿宋" w:eastAsia="仿宋"/>
                <w:sz w:val="22"/>
                <w:szCs w:val="22"/>
                <w:highlight w:val="none"/>
                <w:lang w:val="en-US" w:eastAsia="zh-CN"/>
              </w:rPr>
            </w:pPr>
            <w:r>
              <w:rPr>
                <w:rFonts w:hint="eastAsia" w:ascii="仿宋" w:hAnsi="仿宋" w:eastAsia="仿宋"/>
                <w:sz w:val="22"/>
                <w:szCs w:val="22"/>
                <w:highlight w:val="none"/>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99" w:hRule="atLeast"/>
        </w:trPr>
        <w:tc>
          <w:tcPr>
            <w:tcW w:w="0" w:type="auto"/>
            <w:tcBorders>
              <w:top w:val="single" w:color="auto" w:sz="4" w:space="0"/>
              <w:left w:val="single" w:color="auto" w:sz="4" w:space="0"/>
              <w:bottom w:val="single" w:color="auto" w:sz="4" w:space="0"/>
              <w:right w:val="single" w:color="auto" w:sz="4" w:space="0"/>
            </w:tcBorders>
            <w:noWrap w:val="0"/>
            <w:tcMar>
              <w:top w:w="12" w:type="dxa"/>
              <w:left w:w="12" w:type="dxa"/>
              <w:bottom w:w="0" w:type="dxa"/>
              <w:right w:w="12" w:type="dxa"/>
            </w:tcMar>
            <w:vAlign w:val="center"/>
          </w:tcPr>
          <w:p>
            <w:pPr>
              <w:pStyle w:val="7"/>
              <w:snapToGrid w:val="0"/>
              <w:spacing w:line="360" w:lineRule="auto"/>
              <w:jc w:val="left"/>
              <w:rPr>
                <w:rFonts w:ascii="仿宋" w:hAnsi="仿宋" w:eastAsia="仿宋"/>
                <w:sz w:val="22"/>
                <w:szCs w:val="22"/>
                <w:highlight w:val="none"/>
              </w:rPr>
            </w:pPr>
            <w:r>
              <w:rPr>
                <w:rFonts w:hint="eastAsia" w:ascii="仿宋" w:hAnsi="仿宋" w:eastAsia="仿宋"/>
                <w:sz w:val="22"/>
                <w:szCs w:val="22"/>
                <w:highlight w:val="none"/>
              </w:rPr>
              <w:t>4</w:t>
            </w:r>
          </w:p>
        </w:tc>
        <w:tc>
          <w:tcPr>
            <w:tcW w:w="0" w:type="auto"/>
            <w:tcBorders>
              <w:top w:val="single" w:color="auto" w:sz="4" w:space="0"/>
              <w:left w:val="nil"/>
              <w:bottom w:val="single" w:color="auto" w:sz="4" w:space="0"/>
              <w:right w:val="single" w:color="auto" w:sz="4" w:space="0"/>
            </w:tcBorders>
            <w:noWrap w:val="0"/>
            <w:tcMar>
              <w:top w:w="12" w:type="dxa"/>
              <w:left w:w="12" w:type="dxa"/>
              <w:bottom w:w="0" w:type="dxa"/>
              <w:right w:w="12" w:type="dxa"/>
            </w:tcMar>
            <w:vAlign w:val="center"/>
          </w:tcPr>
          <w:p>
            <w:pPr>
              <w:jc w:val="center"/>
              <w:rPr>
                <w:rFonts w:hint="eastAsia" w:ascii="仿宋" w:hAnsi="仿宋" w:eastAsia="仿宋" w:cs="Times New Roman"/>
                <w:sz w:val="28"/>
                <w:szCs w:val="28"/>
                <w:highlight w:val="none"/>
                <w:lang w:val="en-US" w:eastAsia="zh-CN"/>
              </w:rPr>
            </w:pPr>
            <w:r>
              <w:rPr>
                <w:rFonts w:hint="eastAsia" w:ascii="仿宋" w:hAnsi="仿宋" w:eastAsia="仿宋" w:cs="Times New Roman"/>
                <w:sz w:val="28"/>
                <w:szCs w:val="28"/>
                <w:highlight w:val="none"/>
                <w:lang w:val="en-US" w:eastAsia="zh-CN"/>
              </w:rPr>
              <w:t>新能源汽车认识</w:t>
            </w:r>
          </w:p>
        </w:tc>
        <w:tc>
          <w:tcPr>
            <w:tcW w:w="0" w:type="auto"/>
            <w:tcBorders>
              <w:top w:val="single" w:color="auto" w:sz="4" w:space="0"/>
              <w:left w:val="nil"/>
              <w:bottom w:val="single" w:color="auto" w:sz="4" w:space="0"/>
              <w:right w:val="single" w:color="auto" w:sz="4" w:space="0"/>
            </w:tcBorders>
            <w:noWrap w:val="0"/>
            <w:tcMar>
              <w:top w:w="12" w:type="dxa"/>
              <w:left w:w="12" w:type="dxa"/>
              <w:bottom w:w="0" w:type="dxa"/>
              <w:right w:w="12" w:type="dxa"/>
            </w:tcMar>
            <w:vAlign w:val="top"/>
          </w:tcPr>
          <w:p>
            <w:pPr>
              <w:spacing w:line="480" w:lineRule="exact"/>
              <w:jc w:val="left"/>
              <w:rPr>
                <w:rFonts w:ascii="仿宋" w:hAnsi="仿宋" w:eastAsia="仿宋"/>
                <w:sz w:val="22"/>
                <w:szCs w:val="22"/>
                <w:highlight w:val="none"/>
              </w:rPr>
            </w:pPr>
            <w:r>
              <w:rPr>
                <w:rFonts w:hint="eastAsia" w:ascii="仿宋" w:hAnsi="仿宋" w:eastAsia="仿宋" w:cs="Times New Roman"/>
                <w:sz w:val="22"/>
                <w:szCs w:val="22"/>
                <w:highlight w:val="none"/>
                <w:lang w:val="en-US" w:eastAsia="zh-CN"/>
              </w:rPr>
              <w:t>了解新能源汽车发展的历史等汽车文化；理解新能源汽车的定义；了解纯电动汽车、混合动力汽车、燃料电池电动汽车基本构造；熟练掌握新能源汽车作业前准备流程和安全防护措施；掌握纯电动汽车、混合动力汽车、燃料电池电动汽车的总体构造与性能；能识别新能源汽车铭牌信息，掌握新能源汽车的功能操作与日常维护。</w:t>
            </w:r>
          </w:p>
        </w:tc>
        <w:tc>
          <w:tcPr>
            <w:tcW w:w="0" w:type="auto"/>
            <w:tcBorders>
              <w:top w:val="single" w:color="auto" w:sz="4" w:space="0"/>
              <w:left w:val="nil"/>
              <w:bottom w:val="single" w:color="auto" w:sz="4" w:space="0"/>
              <w:right w:val="single" w:color="auto" w:sz="4" w:space="0"/>
            </w:tcBorders>
            <w:noWrap w:val="0"/>
            <w:tcMar>
              <w:top w:w="12" w:type="dxa"/>
              <w:left w:w="12" w:type="dxa"/>
              <w:bottom w:w="0" w:type="dxa"/>
              <w:right w:w="12" w:type="dxa"/>
            </w:tcMar>
            <w:vAlign w:val="center"/>
          </w:tcPr>
          <w:p>
            <w:pPr>
              <w:pStyle w:val="7"/>
              <w:snapToGrid w:val="0"/>
              <w:spacing w:line="360" w:lineRule="auto"/>
              <w:jc w:val="left"/>
              <w:rPr>
                <w:rFonts w:hint="default" w:ascii="仿宋" w:hAnsi="仿宋" w:eastAsia="仿宋"/>
                <w:sz w:val="22"/>
                <w:szCs w:val="22"/>
                <w:highlight w:val="none"/>
                <w:lang w:val="en-US" w:eastAsia="zh-CN"/>
              </w:rPr>
            </w:pPr>
            <w:r>
              <w:rPr>
                <w:rFonts w:hint="eastAsia" w:ascii="仿宋" w:hAnsi="仿宋" w:eastAsia="仿宋"/>
                <w:sz w:val="22"/>
                <w:szCs w:val="22"/>
                <w:highlight w:val="none"/>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7" w:hRule="atLeast"/>
        </w:trPr>
        <w:tc>
          <w:tcPr>
            <w:tcW w:w="0" w:type="auto"/>
            <w:tcBorders>
              <w:top w:val="single" w:color="auto" w:sz="4" w:space="0"/>
              <w:left w:val="single" w:color="auto" w:sz="4" w:space="0"/>
              <w:bottom w:val="single" w:color="auto" w:sz="4" w:space="0"/>
              <w:right w:val="single" w:color="auto" w:sz="4" w:space="0"/>
            </w:tcBorders>
            <w:noWrap w:val="0"/>
            <w:tcMar>
              <w:top w:w="12" w:type="dxa"/>
              <w:left w:w="12" w:type="dxa"/>
              <w:bottom w:w="0" w:type="dxa"/>
              <w:right w:w="12" w:type="dxa"/>
            </w:tcMar>
            <w:vAlign w:val="center"/>
          </w:tcPr>
          <w:p>
            <w:pPr>
              <w:pStyle w:val="7"/>
              <w:snapToGrid w:val="0"/>
              <w:spacing w:line="360" w:lineRule="auto"/>
              <w:jc w:val="left"/>
              <w:rPr>
                <w:rFonts w:ascii="仿宋" w:hAnsi="仿宋" w:eastAsia="仿宋"/>
                <w:sz w:val="22"/>
                <w:szCs w:val="22"/>
                <w:highlight w:val="none"/>
              </w:rPr>
            </w:pPr>
            <w:r>
              <w:rPr>
                <w:rFonts w:hint="eastAsia" w:ascii="仿宋" w:hAnsi="仿宋" w:eastAsia="仿宋"/>
                <w:sz w:val="22"/>
                <w:szCs w:val="22"/>
                <w:highlight w:val="none"/>
              </w:rPr>
              <w:t>5</w:t>
            </w:r>
          </w:p>
        </w:tc>
        <w:tc>
          <w:tcPr>
            <w:tcW w:w="0" w:type="auto"/>
            <w:tcBorders>
              <w:top w:val="single" w:color="auto" w:sz="4" w:space="0"/>
              <w:left w:val="nil"/>
              <w:bottom w:val="single" w:color="auto" w:sz="4" w:space="0"/>
              <w:right w:val="single" w:color="auto" w:sz="4" w:space="0"/>
            </w:tcBorders>
            <w:noWrap w:val="0"/>
            <w:tcMar>
              <w:top w:w="12" w:type="dxa"/>
              <w:left w:w="12" w:type="dxa"/>
              <w:bottom w:w="0" w:type="dxa"/>
              <w:right w:w="12" w:type="dxa"/>
            </w:tcMar>
            <w:vAlign w:val="center"/>
          </w:tcPr>
          <w:p>
            <w:pPr>
              <w:jc w:val="center"/>
              <w:rPr>
                <w:rFonts w:hint="eastAsia" w:ascii="仿宋" w:hAnsi="仿宋" w:eastAsia="仿宋" w:cs="Times New Roman"/>
                <w:sz w:val="28"/>
                <w:szCs w:val="28"/>
                <w:highlight w:val="none"/>
                <w:lang w:val="en-US" w:eastAsia="zh-CN"/>
              </w:rPr>
            </w:pPr>
            <w:r>
              <w:rPr>
                <w:rFonts w:hint="eastAsia" w:ascii="仿宋" w:hAnsi="仿宋" w:eastAsia="仿宋" w:cs="Times New Roman"/>
                <w:sz w:val="28"/>
                <w:szCs w:val="28"/>
                <w:highlight w:val="none"/>
                <w:lang w:val="en-US" w:eastAsia="zh-CN"/>
              </w:rPr>
              <w:t>新能</w:t>
            </w:r>
          </w:p>
          <w:p>
            <w:pPr>
              <w:jc w:val="center"/>
              <w:rPr>
                <w:rFonts w:hint="eastAsia" w:ascii="仿宋" w:hAnsi="仿宋" w:eastAsia="仿宋" w:cs="Times New Roman"/>
                <w:sz w:val="28"/>
                <w:szCs w:val="28"/>
                <w:highlight w:val="none"/>
                <w:lang w:val="en-US" w:eastAsia="zh-CN"/>
              </w:rPr>
            </w:pPr>
            <w:r>
              <w:rPr>
                <w:rFonts w:hint="eastAsia" w:ascii="仿宋" w:hAnsi="仿宋" w:eastAsia="仿宋" w:cs="Times New Roman"/>
                <w:sz w:val="28"/>
                <w:szCs w:val="28"/>
                <w:highlight w:val="none"/>
                <w:lang w:val="en-US" w:eastAsia="zh-CN"/>
              </w:rPr>
              <w:t>源汽</w:t>
            </w:r>
          </w:p>
          <w:p>
            <w:pPr>
              <w:jc w:val="center"/>
              <w:rPr>
                <w:rFonts w:hint="eastAsia" w:ascii="仿宋" w:hAnsi="仿宋" w:eastAsia="仿宋" w:cs="Times New Roman"/>
                <w:sz w:val="28"/>
                <w:szCs w:val="28"/>
                <w:highlight w:val="none"/>
                <w:lang w:val="en-US" w:eastAsia="zh-CN"/>
              </w:rPr>
            </w:pPr>
            <w:r>
              <w:rPr>
                <w:rFonts w:hint="eastAsia" w:ascii="仿宋" w:hAnsi="仿宋" w:eastAsia="仿宋" w:cs="Times New Roman"/>
                <w:sz w:val="28"/>
                <w:szCs w:val="28"/>
                <w:highlight w:val="none"/>
                <w:lang w:val="en-US" w:eastAsia="zh-CN"/>
              </w:rPr>
              <w:t>车电</w:t>
            </w:r>
          </w:p>
          <w:p>
            <w:pPr>
              <w:jc w:val="center"/>
              <w:rPr>
                <w:rFonts w:hint="eastAsia" w:ascii="仿宋" w:hAnsi="仿宋" w:eastAsia="仿宋" w:cs="Times New Roman"/>
                <w:sz w:val="28"/>
                <w:szCs w:val="28"/>
                <w:highlight w:val="none"/>
                <w:lang w:val="en-US" w:eastAsia="zh-CN"/>
              </w:rPr>
            </w:pPr>
            <w:r>
              <w:rPr>
                <w:rFonts w:hint="eastAsia" w:ascii="仿宋" w:hAnsi="仿宋" w:eastAsia="仿宋" w:cs="Times New Roman"/>
                <w:sz w:val="28"/>
                <w:szCs w:val="28"/>
                <w:highlight w:val="none"/>
                <w:lang w:val="en-US" w:eastAsia="zh-CN"/>
              </w:rPr>
              <w:t>气构</w:t>
            </w:r>
          </w:p>
          <w:p>
            <w:pPr>
              <w:jc w:val="center"/>
              <w:rPr>
                <w:rFonts w:hint="eastAsia" w:ascii="仿宋" w:hAnsi="仿宋" w:eastAsia="仿宋" w:cs="Times New Roman"/>
                <w:sz w:val="28"/>
                <w:szCs w:val="28"/>
                <w:highlight w:val="none"/>
                <w:lang w:val="en-US" w:eastAsia="zh-CN"/>
              </w:rPr>
            </w:pPr>
            <w:r>
              <w:rPr>
                <w:rFonts w:hint="eastAsia" w:ascii="仿宋" w:hAnsi="仿宋" w:eastAsia="仿宋" w:cs="Times New Roman"/>
                <w:sz w:val="28"/>
                <w:szCs w:val="28"/>
                <w:highlight w:val="none"/>
                <w:lang w:val="en-US" w:eastAsia="zh-CN"/>
              </w:rPr>
              <w:t>造与</w:t>
            </w:r>
          </w:p>
          <w:p>
            <w:pPr>
              <w:jc w:val="center"/>
              <w:rPr>
                <w:rFonts w:hint="eastAsia" w:ascii="仿宋" w:hAnsi="仿宋" w:eastAsia="仿宋" w:cs="Times New Roman"/>
                <w:sz w:val="28"/>
                <w:szCs w:val="28"/>
                <w:highlight w:val="none"/>
                <w:lang w:val="en-US" w:eastAsia="zh-CN"/>
              </w:rPr>
            </w:pPr>
            <w:r>
              <w:rPr>
                <w:rFonts w:hint="eastAsia" w:ascii="仿宋" w:hAnsi="仿宋" w:eastAsia="仿宋" w:cs="Times New Roman"/>
                <w:sz w:val="28"/>
                <w:szCs w:val="28"/>
                <w:highlight w:val="none"/>
                <w:lang w:val="en-US" w:eastAsia="zh-CN"/>
              </w:rPr>
              <w:t>检修</w:t>
            </w:r>
          </w:p>
          <w:p>
            <w:pPr>
              <w:jc w:val="center"/>
              <w:rPr>
                <w:rFonts w:hint="eastAsia" w:ascii="仿宋" w:hAnsi="仿宋" w:eastAsia="仿宋" w:cs="Times New Roman"/>
                <w:sz w:val="28"/>
                <w:szCs w:val="28"/>
                <w:highlight w:val="none"/>
                <w:lang w:val="en-US" w:eastAsia="zh-CN"/>
              </w:rPr>
            </w:pPr>
          </w:p>
        </w:tc>
        <w:tc>
          <w:tcPr>
            <w:tcW w:w="0" w:type="auto"/>
            <w:tcBorders>
              <w:top w:val="single" w:color="auto" w:sz="4" w:space="0"/>
              <w:left w:val="nil"/>
              <w:bottom w:val="single" w:color="auto" w:sz="4" w:space="0"/>
              <w:right w:val="single" w:color="auto" w:sz="4" w:space="0"/>
            </w:tcBorders>
            <w:noWrap w:val="0"/>
            <w:tcMar>
              <w:top w:w="12" w:type="dxa"/>
              <w:left w:w="12" w:type="dxa"/>
              <w:bottom w:w="0" w:type="dxa"/>
              <w:right w:w="12" w:type="dxa"/>
            </w:tcMar>
            <w:vAlign w:val="top"/>
          </w:tcPr>
          <w:p>
            <w:pPr>
              <w:spacing w:line="480" w:lineRule="exact"/>
              <w:jc w:val="left"/>
              <w:rPr>
                <w:rFonts w:ascii="仿宋" w:hAnsi="仿宋" w:eastAsia="仿宋"/>
                <w:sz w:val="22"/>
                <w:szCs w:val="22"/>
                <w:highlight w:val="none"/>
              </w:rPr>
            </w:pPr>
            <w:r>
              <w:rPr>
                <w:rFonts w:hint="eastAsia" w:ascii="仿宋" w:hAnsi="仿宋" w:eastAsia="仿宋" w:cs="Times New Roman"/>
                <w:sz w:val="22"/>
                <w:szCs w:val="22"/>
                <w:highlight w:val="none"/>
                <w:lang w:val="en-US" w:eastAsia="zh-CN"/>
              </w:rPr>
              <w:t>了解新能源汽车电气系统的组成；能读懂电气系统电路图并找出故障位置；能正确使用电气检测工具及设备；能检查、测量及保养蓄电池及供电线路；能对智能辅助系统进行功能检测及标定；能完成舒适系统功能操作、初始化设定及性能检测；能完成灯光仪表警示装置和车身电气系统的检查、保养及小总成的更换。</w:t>
            </w:r>
          </w:p>
        </w:tc>
        <w:tc>
          <w:tcPr>
            <w:tcW w:w="0" w:type="auto"/>
            <w:tcBorders>
              <w:top w:val="single" w:color="auto" w:sz="4" w:space="0"/>
              <w:left w:val="nil"/>
              <w:bottom w:val="single" w:color="auto" w:sz="4" w:space="0"/>
              <w:right w:val="single" w:color="auto" w:sz="4" w:space="0"/>
            </w:tcBorders>
            <w:noWrap w:val="0"/>
            <w:tcMar>
              <w:top w:w="12" w:type="dxa"/>
              <w:left w:w="12" w:type="dxa"/>
              <w:bottom w:w="0" w:type="dxa"/>
              <w:right w:w="12" w:type="dxa"/>
            </w:tcMar>
            <w:vAlign w:val="center"/>
          </w:tcPr>
          <w:p>
            <w:pPr>
              <w:pStyle w:val="7"/>
              <w:snapToGrid w:val="0"/>
              <w:spacing w:line="360" w:lineRule="auto"/>
              <w:jc w:val="left"/>
              <w:rPr>
                <w:rFonts w:ascii="仿宋" w:hAnsi="仿宋" w:eastAsia="仿宋"/>
                <w:sz w:val="22"/>
                <w:szCs w:val="22"/>
                <w:highlight w:val="none"/>
              </w:rPr>
            </w:pPr>
            <w:r>
              <w:rPr>
                <w:rFonts w:hint="eastAsia" w:ascii="仿宋" w:hAnsi="仿宋" w:eastAsia="仿宋"/>
                <w:sz w:val="22"/>
                <w:szCs w:val="22"/>
                <w:highlight w:val="none"/>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7" w:hRule="atLeast"/>
        </w:trPr>
        <w:tc>
          <w:tcPr>
            <w:tcW w:w="0" w:type="auto"/>
            <w:tcBorders>
              <w:top w:val="single" w:color="auto" w:sz="4" w:space="0"/>
              <w:left w:val="single" w:color="auto" w:sz="4" w:space="0"/>
              <w:bottom w:val="single" w:color="auto" w:sz="4" w:space="0"/>
              <w:right w:val="single" w:color="auto" w:sz="4" w:space="0"/>
            </w:tcBorders>
            <w:noWrap w:val="0"/>
            <w:tcMar>
              <w:top w:w="12" w:type="dxa"/>
              <w:left w:w="12" w:type="dxa"/>
              <w:bottom w:w="0" w:type="dxa"/>
              <w:right w:w="12" w:type="dxa"/>
            </w:tcMar>
            <w:vAlign w:val="center"/>
          </w:tcPr>
          <w:p>
            <w:pPr>
              <w:pStyle w:val="7"/>
              <w:snapToGrid w:val="0"/>
              <w:spacing w:line="360" w:lineRule="auto"/>
              <w:jc w:val="left"/>
              <w:rPr>
                <w:rFonts w:hint="eastAsia" w:ascii="仿宋" w:hAnsi="仿宋" w:eastAsia="仿宋"/>
                <w:sz w:val="22"/>
                <w:szCs w:val="22"/>
                <w:highlight w:val="none"/>
                <w:lang w:val="en-US" w:eastAsia="zh-CN"/>
              </w:rPr>
            </w:pPr>
            <w:r>
              <w:rPr>
                <w:rFonts w:hint="eastAsia" w:ascii="仿宋" w:hAnsi="仿宋" w:eastAsia="仿宋"/>
                <w:sz w:val="22"/>
                <w:szCs w:val="22"/>
                <w:highlight w:val="none"/>
                <w:lang w:val="en-US" w:eastAsia="zh-CN"/>
              </w:rPr>
              <w:t>6</w:t>
            </w:r>
          </w:p>
        </w:tc>
        <w:tc>
          <w:tcPr>
            <w:tcW w:w="0" w:type="auto"/>
            <w:tcBorders>
              <w:top w:val="single" w:color="auto" w:sz="4" w:space="0"/>
              <w:left w:val="nil"/>
              <w:bottom w:val="single" w:color="auto" w:sz="4" w:space="0"/>
              <w:right w:val="single" w:color="auto" w:sz="4" w:space="0"/>
            </w:tcBorders>
            <w:noWrap w:val="0"/>
            <w:tcMar>
              <w:top w:w="12" w:type="dxa"/>
              <w:left w:w="12" w:type="dxa"/>
              <w:bottom w:w="0" w:type="dxa"/>
              <w:right w:w="12" w:type="dxa"/>
            </w:tcMar>
            <w:vAlign w:val="center"/>
          </w:tcPr>
          <w:p>
            <w:pPr>
              <w:jc w:val="center"/>
              <w:rPr>
                <w:rFonts w:hint="eastAsia" w:ascii="仿宋" w:hAnsi="仿宋" w:eastAsia="仿宋" w:cs="Times New Roman"/>
                <w:sz w:val="28"/>
                <w:szCs w:val="28"/>
                <w:highlight w:val="none"/>
                <w:lang w:val="en-US" w:eastAsia="zh-CN"/>
              </w:rPr>
            </w:pPr>
            <w:r>
              <w:rPr>
                <w:rFonts w:hint="eastAsia" w:ascii="仿宋" w:hAnsi="仿宋" w:eastAsia="仿宋" w:cs="Times New Roman"/>
                <w:sz w:val="28"/>
                <w:szCs w:val="28"/>
                <w:highlight w:val="none"/>
                <w:lang w:val="en-US" w:eastAsia="zh-CN"/>
              </w:rPr>
              <w:t>新能源汽车结构与拆装</w:t>
            </w:r>
          </w:p>
        </w:tc>
        <w:tc>
          <w:tcPr>
            <w:tcW w:w="0" w:type="auto"/>
            <w:tcBorders>
              <w:top w:val="single" w:color="auto" w:sz="4" w:space="0"/>
              <w:left w:val="nil"/>
              <w:bottom w:val="single" w:color="auto" w:sz="4" w:space="0"/>
              <w:right w:val="single" w:color="auto" w:sz="4" w:space="0"/>
            </w:tcBorders>
            <w:noWrap w:val="0"/>
            <w:tcMar>
              <w:top w:w="12" w:type="dxa"/>
              <w:left w:w="12" w:type="dxa"/>
              <w:bottom w:w="0" w:type="dxa"/>
              <w:right w:w="12" w:type="dxa"/>
            </w:tcMar>
            <w:vAlign w:val="top"/>
          </w:tcPr>
          <w:p>
            <w:pPr>
              <w:spacing w:line="480" w:lineRule="exact"/>
              <w:jc w:val="left"/>
              <w:rPr>
                <w:rFonts w:hint="eastAsia" w:ascii="仿宋" w:hAnsi="仿宋" w:eastAsia="仿宋" w:cs="Times New Roman"/>
                <w:sz w:val="22"/>
                <w:szCs w:val="22"/>
                <w:highlight w:val="none"/>
                <w:lang w:val="en-US" w:eastAsia="zh-CN"/>
              </w:rPr>
            </w:pPr>
            <w:r>
              <w:rPr>
                <w:rFonts w:hint="eastAsia" w:ascii="仿宋" w:hAnsi="仿宋" w:eastAsia="仿宋" w:cs="Times New Roman"/>
                <w:sz w:val="22"/>
                <w:szCs w:val="22"/>
                <w:highlight w:val="none"/>
                <w:lang w:val="en-US" w:eastAsia="zh-CN"/>
              </w:rPr>
              <w:t>新能源汽车装配常规工具的安全操作规范；能规范使用专用工具及设备对电动汽车主要总成（动力电池总成、驱动电机总成、电机控制器总成、底盘系统部件）进行拆装；掌握电动汽车的结构和原理；掌握新能源汽车性能检测及故障诊。</w:t>
            </w:r>
          </w:p>
          <w:p>
            <w:pPr>
              <w:widowControl/>
              <w:jc w:val="left"/>
              <w:rPr>
                <w:rFonts w:hint="eastAsia" w:ascii="仿宋" w:hAnsi="仿宋" w:eastAsia="仿宋"/>
                <w:sz w:val="22"/>
                <w:szCs w:val="22"/>
                <w:highlight w:val="none"/>
              </w:rPr>
            </w:pPr>
          </w:p>
        </w:tc>
        <w:tc>
          <w:tcPr>
            <w:tcW w:w="0" w:type="auto"/>
            <w:tcBorders>
              <w:top w:val="single" w:color="auto" w:sz="4" w:space="0"/>
              <w:left w:val="nil"/>
              <w:bottom w:val="single" w:color="auto" w:sz="4" w:space="0"/>
              <w:right w:val="single" w:color="auto" w:sz="4" w:space="0"/>
            </w:tcBorders>
            <w:noWrap w:val="0"/>
            <w:tcMar>
              <w:top w:w="12" w:type="dxa"/>
              <w:left w:w="12" w:type="dxa"/>
              <w:bottom w:w="0" w:type="dxa"/>
              <w:right w:w="12" w:type="dxa"/>
            </w:tcMar>
            <w:vAlign w:val="center"/>
          </w:tcPr>
          <w:p>
            <w:pPr>
              <w:pStyle w:val="7"/>
              <w:snapToGrid w:val="0"/>
              <w:spacing w:line="360" w:lineRule="auto"/>
              <w:jc w:val="left"/>
              <w:rPr>
                <w:rFonts w:hint="default" w:ascii="仿宋" w:hAnsi="仿宋" w:eastAsia="仿宋"/>
                <w:sz w:val="22"/>
                <w:szCs w:val="22"/>
                <w:highlight w:val="none"/>
                <w:lang w:val="en-US" w:eastAsia="zh-CN"/>
              </w:rPr>
            </w:pPr>
            <w:r>
              <w:rPr>
                <w:rFonts w:hint="eastAsia" w:ascii="仿宋" w:hAnsi="仿宋" w:eastAsia="仿宋"/>
                <w:sz w:val="22"/>
                <w:szCs w:val="22"/>
                <w:highlight w:val="none"/>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7" w:hRule="atLeast"/>
        </w:trPr>
        <w:tc>
          <w:tcPr>
            <w:tcW w:w="0" w:type="auto"/>
            <w:tcBorders>
              <w:top w:val="single" w:color="auto" w:sz="4" w:space="0"/>
              <w:left w:val="single" w:color="auto" w:sz="4" w:space="0"/>
              <w:bottom w:val="single" w:color="auto" w:sz="4" w:space="0"/>
              <w:right w:val="single" w:color="auto" w:sz="4" w:space="0"/>
            </w:tcBorders>
            <w:noWrap w:val="0"/>
            <w:tcMar>
              <w:top w:w="12" w:type="dxa"/>
              <w:left w:w="12" w:type="dxa"/>
              <w:bottom w:w="0" w:type="dxa"/>
              <w:right w:w="12" w:type="dxa"/>
            </w:tcMar>
            <w:vAlign w:val="center"/>
          </w:tcPr>
          <w:p>
            <w:pPr>
              <w:pStyle w:val="7"/>
              <w:snapToGrid w:val="0"/>
              <w:spacing w:line="360" w:lineRule="auto"/>
              <w:jc w:val="left"/>
              <w:rPr>
                <w:rFonts w:hint="eastAsia" w:ascii="仿宋" w:hAnsi="仿宋" w:eastAsia="仿宋"/>
                <w:sz w:val="22"/>
                <w:szCs w:val="22"/>
                <w:highlight w:val="none"/>
                <w:lang w:val="en-US" w:eastAsia="zh-CN"/>
              </w:rPr>
            </w:pPr>
            <w:r>
              <w:rPr>
                <w:rFonts w:hint="eastAsia" w:ascii="仿宋" w:hAnsi="仿宋" w:eastAsia="仿宋"/>
                <w:sz w:val="22"/>
                <w:szCs w:val="22"/>
                <w:highlight w:val="none"/>
                <w:lang w:val="en-US" w:eastAsia="zh-CN"/>
              </w:rPr>
              <w:t>7</w:t>
            </w:r>
          </w:p>
        </w:tc>
        <w:tc>
          <w:tcPr>
            <w:tcW w:w="0" w:type="auto"/>
            <w:tcBorders>
              <w:top w:val="single" w:color="auto" w:sz="4" w:space="0"/>
              <w:left w:val="nil"/>
              <w:bottom w:val="single" w:color="auto" w:sz="4" w:space="0"/>
              <w:right w:val="single" w:color="auto" w:sz="4" w:space="0"/>
            </w:tcBorders>
            <w:noWrap w:val="0"/>
            <w:tcMar>
              <w:top w:w="12" w:type="dxa"/>
              <w:left w:w="12" w:type="dxa"/>
              <w:bottom w:w="0" w:type="dxa"/>
              <w:right w:w="12" w:type="dxa"/>
            </w:tcMar>
            <w:vAlign w:val="center"/>
          </w:tcPr>
          <w:p>
            <w:pPr>
              <w:pStyle w:val="7"/>
              <w:snapToGrid w:val="0"/>
              <w:spacing w:line="360" w:lineRule="auto"/>
              <w:jc w:val="center"/>
              <w:rPr>
                <w:rFonts w:hint="eastAsia" w:ascii="仿宋" w:hAnsi="仿宋" w:eastAsia="仿宋"/>
                <w:sz w:val="22"/>
                <w:szCs w:val="22"/>
                <w:highlight w:val="none"/>
                <w:lang w:eastAsia="zh-CN"/>
              </w:rPr>
            </w:pPr>
            <w:r>
              <w:rPr>
                <w:rFonts w:hint="eastAsia" w:ascii="仿宋" w:hAnsi="仿宋" w:eastAsia="仿宋" w:cs="Times New Roman"/>
                <w:kern w:val="2"/>
                <w:sz w:val="28"/>
                <w:szCs w:val="28"/>
                <w:highlight w:val="none"/>
                <w:lang w:val="en-US" w:eastAsia="zh-CN" w:bidi="ar-SA"/>
              </w:rPr>
              <w:t>电动汽车动力电池拆装与维护</w:t>
            </w:r>
          </w:p>
        </w:tc>
        <w:tc>
          <w:tcPr>
            <w:tcW w:w="0" w:type="auto"/>
            <w:tcBorders>
              <w:top w:val="single" w:color="auto" w:sz="4" w:space="0"/>
              <w:left w:val="nil"/>
              <w:bottom w:val="single" w:color="auto" w:sz="4" w:space="0"/>
              <w:right w:val="single" w:color="auto" w:sz="4" w:space="0"/>
            </w:tcBorders>
            <w:noWrap w:val="0"/>
            <w:tcMar>
              <w:top w:w="12" w:type="dxa"/>
              <w:left w:w="12" w:type="dxa"/>
              <w:bottom w:w="0" w:type="dxa"/>
              <w:right w:w="12" w:type="dxa"/>
            </w:tcMar>
            <w:vAlign w:val="top"/>
          </w:tcPr>
          <w:p>
            <w:pPr>
              <w:spacing w:line="480" w:lineRule="exact"/>
              <w:jc w:val="left"/>
              <w:rPr>
                <w:rFonts w:hint="eastAsia" w:ascii="仿宋" w:hAnsi="仿宋" w:eastAsia="仿宋"/>
                <w:sz w:val="22"/>
                <w:szCs w:val="22"/>
                <w:highlight w:val="none"/>
              </w:rPr>
            </w:pPr>
            <w:r>
              <w:rPr>
                <w:rFonts w:hint="eastAsia" w:ascii="仿宋" w:hAnsi="仿宋" w:eastAsia="仿宋" w:cs="Times New Roman"/>
                <w:sz w:val="22"/>
                <w:szCs w:val="22"/>
                <w:highlight w:val="none"/>
                <w:lang w:val="en-US" w:eastAsia="zh-CN"/>
              </w:rPr>
              <w:t>了解电动汽车动力电池的作用、类型、特点、工作原理和组成；掌握电动汽车动力电池的检测、拆装、使用及维护的基本技能和注意事项；掌握高压上、下电知识；能使用通用、专用工具结合维修手册对动力电池系统进行规范的拆装；具备电动汽车动力电池装配与调试的工作能力。</w:t>
            </w:r>
          </w:p>
        </w:tc>
        <w:tc>
          <w:tcPr>
            <w:tcW w:w="0" w:type="auto"/>
            <w:tcBorders>
              <w:top w:val="single" w:color="auto" w:sz="4" w:space="0"/>
              <w:left w:val="nil"/>
              <w:bottom w:val="single" w:color="auto" w:sz="4" w:space="0"/>
              <w:right w:val="single" w:color="auto" w:sz="4" w:space="0"/>
            </w:tcBorders>
            <w:noWrap w:val="0"/>
            <w:tcMar>
              <w:top w:w="12" w:type="dxa"/>
              <w:left w:w="12" w:type="dxa"/>
              <w:bottom w:w="0" w:type="dxa"/>
              <w:right w:w="12" w:type="dxa"/>
            </w:tcMar>
            <w:vAlign w:val="center"/>
          </w:tcPr>
          <w:p>
            <w:pPr>
              <w:pStyle w:val="7"/>
              <w:snapToGrid w:val="0"/>
              <w:spacing w:line="360" w:lineRule="auto"/>
              <w:jc w:val="left"/>
              <w:rPr>
                <w:rFonts w:hint="default" w:ascii="仿宋" w:hAnsi="仿宋" w:eastAsia="仿宋"/>
                <w:sz w:val="22"/>
                <w:szCs w:val="22"/>
                <w:highlight w:val="none"/>
                <w:lang w:val="en-US" w:eastAsia="zh-CN"/>
              </w:rPr>
            </w:pPr>
            <w:r>
              <w:rPr>
                <w:rFonts w:hint="eastAsia" w:ascii="仿宋" w:hAnsi="仿宋" w:eastAsia="仿宋"/>
                <w:sz w:val="22"/>
                <w:szCs w:val="22"/>
                <w:highlight w:val="none"/>
                <w:lang w:val="en-US" w:eastAsia="zh-CN"/>
              </w:rPr>
              <w:t>18</w:t>
            </w:r>
          </w:p>
        </w:tc>
      </w:tr>
    </w:tbl>
    <w:p>
      <w:pPr>
        <w:jc w:val="left"/>
        <w:rPr>
          <w:rFonts w:hint="eastAsia" w:ascii="仿宋" w:hAnsi="仿宋" w:eastAsia="仿宋"/>
          <w:sz w:val="28"/>
          <w:szCs w:val="28"/>
          <w:highlight w:val="none"/>
          <w:lang w:eastAsia="zh-CN"/>
        </w:rPr>
      </w:pPr>
      <w:r>
        <w:rPr>
          <w:rFonts w:hint="eastAsia" w:ascii="仿宋" w:hAnsi="仿宋" w:eastAsia="仿宋"/>
          <w:sz w:val="28"/>
          <w:szCs w:val="28"/>
          <w:highlight w:val="none"/>
        </w:rPr>
        <w:t>2.专业</w:t>
      </w:r>
      <w:r>
        <w:rPr>
          <w:rFonts w:hint="eastAsia" w:ascii="仿宋" w:hAnsi="仿宋" w:eastAsia="仿宋"/>
          <w:sz w:val="28"/>
          <w:szCs w:val="28"/>
          <w:highlight w:val="none"/>
          <w:lang w:eastAsia="zh-CN"/>
        </w:rPr>
        <w:t>课程</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57"/>
        <w:gridCol w:w="1004"/>
        <w:gridCol w:w="6463"/>
        <w:gridCol w:w="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8" w:hRule="atLeast"/>
        </w:trPr>
        <w:tc>
          <w:tcPr>
            <w:tcW w:w="0" w:type="auto"/>
            <w:tcBorders>
              <w:top w:val="single" w:color="auto" w:sz="4" w:space="0"/>
              <w:left w:val="single" w:color="auto" w:sz="4" w:space="0"/>
              <w:bottom w:val="single" w:color="auto" w:sz="4" w:space="0"/>
              <w:right w:val="single" w:color="auto" w:sz="4" w:space="0"/>
            </w:tcBorders>
            <w:noWrap w:val="0"/>
            <w:tcMar>
              <w:top w:w="12" w:type="dxa"/>
              <w:left w:w="12" w:type="dxa"/>
              <w:bottom w:w="0" w:type="dxa"/>
              <w:right w:w="12" w:type="dxa"/>
            </w:tcMar>
            <w:vAlign w:val="center"/>
          </w:tcPr>
          <w:p>
            <w:pPr>
              <w:widowControl/>
              <w:jc w:val="center"/>
              <w:textAlignment w:val="center"/>
              <w:rPr>
                <w:rFonts w:ascii="仿宋" w:hAnsi="仿宋" w:eastAsia="仿宋"/>
                <w:color w:val="000000"/>
                <w:sz w:val="28"/>
                <w:szCs w:val="28"/>
                <w:highlight w:val="none"/>
              </w:rPr>
            </w:pPr>
            <w:r>
              <w:rPr>
                <w:rFonts w:hint="eastAsia" w:ascii="仿宋" w:hAnsi="仿宋" w:eastAsia="仿宋"/>
                <w:color w:val="000000"/>
                <w:kern w:val="0"/>
                <w:sz w:val="28"/>
                <w:szCs w:val="28"/>
                <w:highlight w:val="none"/>
              </w:rPr>
              <w:t>序号</w:t>
            </w:r>
          </w:p>
        </w:tc>
        <w:tc>
          <w:tcPr>
            <w:tcW w:w="0" w:type="auto"/>
            <w:tcBorders>
              <w:top w:val="single" w:color="auto" w:sz="4" w:space="0"/>
              <w:left w:val="nil"/>
              <w:bottom w:val="single" w:color="auto" w:sz="4" w:space="0"/>
              <w:right w:val="single" w:color="auto" w:sz="4" w:space="0"/>
            </w:tcBorders>
            <w:noWrap w:val="0"/>
            <w:tcMar>
              <w:top w:w="12" w:type="dxa"/>
              <w:left w:w="12" w:type="dxa"/>
              <w:bottom w:w="0" w:type="dxa"/>
              <w:right w:w="12" w:type="dxa"/>
            </w:tcMar>
            <w:vAlign w:val="center"/>
          </w:tcPr>
          <w:p>
            <w:pPr>
              <w:widowControl/>
              <w:jc w:val="center"/>
              <w:textAlignment w:val="center"/>
              <w:rPr>
                <w:rFonts w:ascii="仿宋" w:hAnsi="仿宋" w:eastAsia="仿宋"/>
                <w:color w:val="000000"/>
                <w:sz w:val="28"/>
                <w:szCs w:val="28"/>
                <w:highlight w:val="none"/>
              </w:rPr>
            </w:pPr>
            <w:r>
              <w:rPr>
                <w:rFonts w:hint="eastAsia" w:ascii="仿宋" w:hAnsi="仿宋" w:eastAsia="仿宋"/>
                <w:color w:val="000000"/>
                <w:kern w:val="0"/>
                <w:sz w:val="28"/>
                <w:szCs w:val="28"/>
                <w:highlight w:val="none"/>
              </w:rPr>
              <w:t>课程名称</w:t>
            </w:r>
          </w:p>
        </w:tc>
        <w:tc>
          <w:tcPr>
            <w:tcW w:w="0" w:type="auto"/>
            <w:tcBorders>
              <w:top w:val="single" w:color="auto" w:sz="4" w:space="0"/>
              <w:left w:val="nil"/>
              <w:bottom w:val="single" w:color="auto" w:sz="4" w:space="0"/>
              <w:right w:val="single" w:color="auto" w:sz="4" w:space="0"/>
            </w:tcBorders>
            <w:noWrap w:val="0"/>
            <w:tcMar>
              <w:top w:w="12" w:type="dxa"/>
              <w:left w:w="12" w:type="dxa"/>
              <w:bottom w:w="0" w:type="dxa"/>
              <w:right w:w="12" w:type="dxa"/>
            </w:tcMar>
            <w:vAlign w:val="center"/>
          </w:tcPr>
          <w:p>
            <w:pPr>
              <w:widowControl/>
              <w:jc w:val="center"/>
              <w:textAlignment w:val="center"/>
              <w:rPr>
                <w:rFonts w:ascii="仿宋" w:hAnsi="仿宋" w:eastAsia="仿宋"/>
                <w:color w:val="000000"/>
                <w:sz w:val="28"/>
                <w:szCs w:val="28"/>
                <w:highlight w:val="none"/>
              </w:rPr>
            </w:pPr>
            <w:r>
              <w:rPr>
                <w:rFonts w:hint="eastAsia" w:ascii="仿宋" w:hAnsi="仿宋" w:eastAsia="仿宋"/>
                <w:color w:val="000000"/>
                <w:kern w:val="0"/>
                <w:sz w:val="28"/>
                <w:szCs w:val="28"/>
                <w:highlight w:val="none"/>
              </w:rPr>
              <w:t>主要教学内容和要求</w:t>
            </w:r>
          </w:p>
        </w:tc>
        <w:tc>
          <w:tcPr>
            <w:tcW w:w="0" w:type="auto"/>
            <w:tcBorders>
              <w:top w:val="single" w:color="auto" w:sz="4" w:space="0"/>
              <w:left w:val="nil"/>
              <w:bottom w:val="single" w:color="auto" w:sz="4" w:space="0"/>
              <w:right w:val="single" w:color="auto" w:sz="4" w:space="0"/>
            </w:tcBorders>
            <w:noWrap w:val="0"/>
            <w:tcMar>
              <w:top w:w="12" w:type="dxa"/>
              <w:left w:w="12" w:type="dxa"/>
              <w:bottom w:w="0" w:type="dxa"/>
              <w:right w:w="12" w:type="dxa"/>
            </w:tcMar>
            <w:vAlign w:val="center"/>
          </w:tcPr>
          <w:p>
            <w:pPr>
              <w:widowControl/>
              <w:jc w:val="center"/>
              <w:textAlignment w:val="center"/>
              <w:rPr>
                <w:rFonts w:ascii="仿宋" w:hAnsi="仿宋" w:eastAsia="仿宋"/>
                <w:color w:val="000000"/>
                <w:sz w:val="28"/>
                <w:szCs w:val="28"/>
                <w:highlight w:val="none"/>
              </w:rPr>
            </w:pPr>
            <w:r>
              <w:rPr>
                <w:rFonts w:hint="eastAsia" w:ascii="仿宋" w:hAnsi="仿宋" w:eastAsia="仿宋"/>
                <w:color w:val="000000"/>
                <w:kern w:val="0"/>
                <w:sz w:val="28"/>
                <w:szCs w:val="28"/>
                <w:highlight w:val="none"/>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4" w:hRule="atLeast"/>
        </w:trPr>
        <w:tc>
          <w:tcPr>
            <w:tcW w:w="0" w:type="auto"/>
            <w:tcBorders>
              <w:top w:val="single" w:color="auto" w:sz="4" w:space="0"/>
              <w:left w:val="single" w:color="auto" w:sz="4" w:space="0"/>
              <w:bottom w:val="single" w:color="auto" w:sz="4" w:space="0"/>
              <w:right w:val="single" w:color="auto" w:sz="4" w:space="0"/>
            </w:tcBorders>
            <w:noWrap w:val="0"/>
            <w:tcMar>
              <w:top w:w="12" w:type="dxa"/>
              <w:left w:w="12" w:type="dxa"/>
              <w:bottom w:w="0" w:type="dxa"/>
              <w:right w:w="12" w:type="dxa"/>
            </w:tcMar>
            <w:vAlign w:val="center"/>
          </w:tcPr>
          <w:p>
            <w:pPr>
              <w:widowControl/>
              <w:jc w:val="center"/>
              <w:textAlignment w:val="center"/>
              <w:rPr>
                <w:rFonts w:ascii="仿宋" w:hAnsi="仿宋" w:eastAsia="仿宋"/>
                <w:color w:val="000000"/>
                <w:sz w:val="28"/>
                <w:szCs w:val="28"/>
                <w:highlight w:val="none"/>
              </w:rPr>
            </w:pPr>
            <w:r>
              <w:rPr>
                <w:rFonts w:hint="eastAsia" w:ascii="仿宋" w:hAnsi="仿宋" w:eastAsia="仿宋"/>
                <w:color w:val="000000"/>
                <w:kern w:val="0"/>
                <w:sz w:val="28"/>
                <w:szCs w:val="28"/>
                <w:highlight w:val="none"/>
              </w:rPr>
              <w:t>1</w:t>
            </w:r>
          </w:p>
        </w:tc>
        <w:tc>
          <w:tcPr>
            <w:tcW w:w="0" w:type="auto"/>
            <w:tcBorders>
              <w:top w:val="single" w:color="auto" w:sz="4" w:space="0"/>
              <w:left w:val="nil"/>
              <w:bottom w:val="single" w:color="auto" w:sz="4" w:space="0"/>
              <w:right w:val="single" w:color="auto" w:sz="4" w:space="0"/>
            </w:tcBorders>
            <w:noWrap w:val="0"/>
            <w:tcMar>
              <w:top w:w="12" w:type="dxa"/>
              <w:left w:w="12" w:type="dxa"/>
              <w:bottom w:w="0" w:type="dxa"/>
              <w:right w:w="12" w:type="dxa"/>
            </w:tcMar>
            <w:vAlign w:val="center"/>
          </w:tcPr>
          <w:p>
            <w:pPr>
              <w:widowControl/>
              <w:jc w:val="center"/>
              <w:textAlignment w:val="center"/>
              <w:rPr>
                <w:rFonts w:hint="eastAsia" w:ascii="仿宋" w:hAnsi="仿宋" w:eastAsia="仿宋" w:cs="Times New Roman"/>
                <w:kern w:val="2"/>
                <w:sz w:val="28"/>
                <w:szCs w:val="28"/>
                <w:highlight w:val="none"/>
                <w:lang w:val="en-US" w:eastAsia="zh-CN" w:bidi="ar-SA"/>
              </w:rPr>
            </w:pPr>
            <w:r>
              <w:rPr>
                <w:rFonts w:hint="eastAsia" w:ascii="仿宋" w:hAnsi="仿宋" w:eastAsia="仿宋" w:cs="Times New Roman"/>
                <w:kern w:val="2"/>
                <w:sz w:val="28"/>
                <w:szCs w:val="28"/>
                <w:highlight w:val="none"/>
                <w:lang w:val="en-US" w:eastAsia="zh-CN" w:bidi="ar-SA"/>
              </w:rPr>
              <w:t>电动汽车驱动系统装配与维护</w:t>
            </w:r>
          </w:p>
        </w:tc>
        <w:tc>
          <w:tcPr>
            <w:tcW w:w="0" w:type="auto"/>
            <w:tcBorders>
              <w:top w:val="single" w:color="auto" w:sz="4" w:space="0"/>
              <w:left w:val="nil"/>
              <w:bottom w:val="single" w:color="auto" w:sz="4" w:space="0"/>
              <w:right w:val="single" w:color="auto" w:sz="4" w:space="0"/>
            </w:tcBorders>
            <w:noWrap w:val="0"/>
            <w:tcMar>
              <w:top w:w="12" w:type="dxa"/>
              <w:left w:w="12" w:type="dxa"/>
              <w:bottom w:w="0" w:type="dxa"/>
              <w:right w:w="12" w:type="dxa"/>
            </w:tcMar>
            <w:vAlign w:val="center"/>
          </w:tcPr>
          <w:p>
            <w:pPr>
              <w:spacing w:line="480" w:lineRule="exact"/>
              <w:jc w:val="left"/>
              <w:rPr>
                <w:rFonts w:ascii="仿宋" w:hAnsi="仿宋" w:eastAsia="仿宋"/>
                <w:color w:val="000000"/>
                <w:sz w:val="22"/>
                <w:szCs w:val="22"/>
                <w:highlight w:val="none"/>
              </w:rPr>
            </w:pPr>
            <w:r>
              <w:rPr>
                <w:rFonts w:hint="eastAsia" w:ascii="仿宋" w:hAnsi="仿宋" w:eastAsia="仿宋" w:cs="Times New Roman"/>
                <w:sz w:val="22"/>
                <w:szCs w:val="22"/>
                <w:highlight w:val="none"/>
                <w:lang w:val="en-US" w:eastAsia="zh-CN"/>
              </w:rPr>
              <w:t>了解电动汽车电机类型；掌握电磁学基本概念、电机磁路理论基础；了解电机控制器基本结构及工作原理；了解直流电机及控制技术；了解三相异步电机结构及工作原理；了解交流同步电机结构及工作原理了解电动汽车不同类型驱动系统结构与控制技术；掌握高压上、下电知识；掌握电动汽车驱动系统构造、拆装与检修的主要方法，能使用通用工具、专用工具及设备进行规范的拆装与检修作业。</w:t>
            </w:r>
          </w:p>
        </w:tc>
        <w:tc>
          <w:tcPr>
            <w:tcW w:w="0" w:type="auto"/>
            <w:tcBorders>
              <w:top w:val="single" w:color="auto" w:sz="4" w:space="0"/>
              <w:left w:val="nil"/>
              <w:bottom w:val="single" w:color="auto" w:sz="4" w:space="0"/>
              <w:right w:val="single" w:color="auto" w:sz="4" w:space="0"/>
            </w:tcBorders>
            <w:noWrap w:val="0"/>
            <w:tcMar>
              <w:top w:w="12" w:type="dxa"/>
              <w:left w:w="12" w:type="dxa"/>
              <w:bottom w:w="0" w:type="dxa"/>
              <w:right w:w="12" w:type="dxa"/>
            </w:tcMar>
            <w:vAlign w:val="center"/>
          </w:tcPr>
          <w:p>
            <w:pPr>
              <w:widowControl/>
              <w:jc w:val="center"/>
              <w:textAlignment w:val="center"/>
              <w:rPr>
                <w:rFonts w:hint="default" w:ascii="仿宋" w:hAnsi="仿宋" w:eastAsia="仿宋" w:cs="Times New Roman"/>
                <w:kern w:val="2"/>
                <w:sz w:val="22"/>
                <w:szCs w:val="22"/>
                <w:highlight w:val="none"/>
                <w:lang w:val="en-US" w:eastAsia="zh-CN" w:bidi="ar-SA"/>
              </w:rPr>
            </w:pPr>
            <w:r>
              <w:rPr>
                <w:rFonts w:hint="eastAsia" w:ascii="仿宋" w:hAnsi="仿宋" w:eastAsia="仿宋" w:cs="Times New Roman"/>
                <w:kern w:val="2"/>
                <w:sz w:val="22"/>
                <w:szCs w:val="22"/>
                <w:highlight w:val="none"/>
                <w:lang w:val="en-US" w:eastAsia="zh-CN" w:bidi="ar-SA"/>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2" w:hRule="atLeast"/>
        </w:trPr>
        <w:tc>
          <w:tcPr>
            <w:tcW w:w="0" w:type="auto"/>
            <w:tcBorders>
              <w:top w:val="single" w:color="auto" w:sz="4" w:space="0"/>
              <w:left w:val="single" w:color="auto" w:sz="4" w:space="0"/>
              <w:bottom w:val="single" w:color="auto" w:sz="4" w:space="0"/>
              <w:right w:val="single" w:color="auto" w:sz="4" w:space="0"/>
            </w:tcBorders>
            <w:noWrap w:val="0"/>
            <w:tcMar>
              <w:top w:w="12" w:type="dxa"/>
              <w:left w:w="12" w:type="dxa"/>
              <w:bottom w:w="0" w:type="dxa"/>
              <w:right w:w="12" w:type="dxa"/>
            </w:tcMar>
            <w:vAlign w:val="center"/>
          </w:tcPr>
          <w:p>
            <w:pPr>
              <w:widowControl/>
              <w:jc w:val="center"/>
              <w:textAlignment w:val="center"/>
              <w:rPr>
                <w:rFonts w:ascii="仿宋" w:hAnsi="仿宋" w:eastAsia="仿宋"/>
                <w:color w:val="000000"/>
                <w:sz w:val="28"/>
                <w:szCs w:val="28"/>
                <w:highlight w:val="none"/>
              </w:rPr>
            </w:pPr>
            <w:r>
              <w:rPr>
                <w:rFonts w:hint="eastAsia" w:ascii="仿宋" w:hAnsi="仿宋" w:eastAsia="仿宋"/>
                <w:color w:val="000000"/>
                <w:kern w:val="0"/>
                <w:sz w:val="28"/>
                <w:szCs w:val="28"/>
                <w:highlight w:val="none"/>
              </w:rPr>
              <w:t>2</w:t>
            </w:r>
          </w:p>
        </w:tc>
        <w:tc>
          <w:tcPr>
            <w:tcW w:w="0" w:type="auto"/>
            <w:tcBorders>
              <w:top w:val="single" w:color="auto" w:sz="4" w:space="0"/>
              <w:left w:val="nil"/>
              <w:bottom w:val="single" w:color="auto" w:sz="4" w:space="0"/>
              <w:right w:val="single" w:color="auto" w:sz="4" w:space="0"/>
            </w:tcBorders>
            <w:noWrap w:val="0"/>
            <w:tcMar>
              <w:top w:w="12" w:type="dxa"/>
              <w:left w:w="12" w:type="dxa"/>
              <w:bottom w:w="0" w:type="dxa"/>
              <w:right w:w="12" w:type="dxa"/>
            </w:tcMar>
            <w:vAlign w:val="center"/>
          </w:tcPr>
          <w:p>
            <w:pPr>
              <w:widowControl/>
              <w:jc w:val="center"/>
              <w:textAlignment w:val="center"/>
              <w:rPr>
                <w:rFonts w:hint="eastAsia" w:ascii="仿宋" w:hAnsi="仿宋" w:eastAsia="仿宋" w:cs="Times New Roman"/>
                <w:kern w:val="2"/>
                <w:sz w:val="28"/>
                <w:szCs w:val="28"/>
                <w:highlight w:val="none"/>
                <w:lang w:val="en-US" w:eastAsia="zh-CN" w:bidi="ar-SA"/>
              </w:rPr>
            </w:pPr>
            <w:r>
              <w:rPr>
                <w:rFonts w:hint="eastAsia" w:ascii="仿宋" w:hAnsi="仿宋" w:eastAsia="仿宋" w:cs="Times New Roman"/>
                <w:kern w:val="2"/>
                <w:sz w:val="28"/>
                <w:szCs w:val="28"/>
                <w:highlight w:val="none"/>
                <w:lang w:val="en-US" w:eastAsia="zh-CN" w:bidi="ar-SA"/>
              </w:rPr>
              <w:t>电动汽车充电系统装配与维护</w:t>
            </w:r>
          </w:p>
        </w:tc>
        <w:tc>
          <w:tcPr>
            <w:tcW w:w="0" w:type="auto"/>
            <w:tcBorders>
              <w:top w:val="single" w:color="auto" w:sz="4" w:space="0"/>
              <w:left w:val="nil"/>
              <w:bottom w:val="single" w:color="auto" w:sz="4" w:space="0"/>
              <w:right w:val="single" w:color="auto" w:sz="4" w:space="0"/>
            </w:tcBorders>
            <w:noWrap w:val="0"/>
            <w:tcMar>
              <w:top w:w="12" w:type="dxa"/>
              <w:left w:w="12" w:type="dxa"/>
              <w:bottom w:w="0" w:type="dxa"/>
              <w:right w:w="12" w:type="dxa"/>
            </w:tcMar>
            <w:vAlign w:val="center"/>
          </w:tcPr>
          <w:p>
            <w:pPr>
              <w:spacing w:line="480" w:lineRule="exact"/>
              <w:jc w:val="left"/>
              <w:rPr>
                <w:rFonts w:ascii="仿宋" w:hAnsi="仿宋" w:eastAsia="仿宋"/>
                <w:sz w:val="22"/>
                <w:szCs w:val="22"/>
                <w:highlight w:val="none"/>
              </w:rPr>
            </w:pPr>
            <w:r>
              <w:rPr>
                <w:rFonts w:hint="eastAsia" w:ascii="仿宋" w:hAnsi="仿宋" w:eastAsia="仿宋" w:cs="Times New Roman"/>
                <w:sz w:val="22"/>
                <w:szCs w:val="22"/>
                <w:highlight w:val="none"/>
                <w:lang w:val="en-US" w:eastAsia="zh-CN"/>
              </w:rPr>
              <w:t xml:space="preserve">了解电动汽车充电系统的结构与不同的充电模式；能准确叙述电动汽车的分类；了解电动汽车充电设施功能、构成、分类及业务模式；掌握不同车型充电系统的技术要求、充电步骤及注意事项；能够使用通用、专用工具对电动汽车充电系统进行检测、安装、维护及使用；能根据不同技术要求对电动汽车充电系统进行装配与维护；了解电动汽车运行特点及充电设施商业模式；了解电动汽车充电设施建设模式及工作流程；了解电动汽车充电桩运营系统及运营管理。 </w:t>
            </w:r>
          </w:p>
        </w:tc>
        <w:tc>
          <w:tcPr>
            <w:tcW w:w="0" w:type="auto"/>
            <w:tcBorders>
              <w:top w:val="single" w:color="auto" w:sz="4" w:space="0"/>
              <w:left w:val="nil"/>
              <w:bottom w:val="single" w:color="auto" w:sz="4" w:space="0"/>
              <w:right w:val="single" w:color="auto" w:sz="4" w:space="0"/>
            </w:tcBorders>
            <w:noWrap w:val="0"/>
            <w:tcMar>
              <w:top w:w="12" w:type="dxa"/>
              <w:left w:w="12" w:type="dxa"/>
              <w:bottom w:w="0" w:type="dxa"/>
              <w:right w:w="12" w:type="dxa"/>
            </w:tcMar>
            <w:vAlign w:val="center"/>
          </w:tcPr>
          <w:p>
            <w:pPr>
              <w:widowControl/>
              <w:jc w:val="center"/>
              <w:textAlignment w:val="center"/>
              <w:rPr>
                <w:rFonts w:hint="default" w:ascii="仿宋" w:hAnsi="仿宋" w:eastAsia="仿宋" w:cs="Times New Roman"/>
                <w:kern w:val="2"/>
                <w:sz w:val="22"/>
                <w:szCs w:val="22"/>
                <w:highlight w:val="none"/>
                <w:lang w:val="en-US" w:eastAsia="zh-CN" w:bidi="ar-SA"/>
              </w:rPr>
            </w:pPr>
            <w:r>
              <w:rPr>
                <w:rFonts w:hint="eastAsia" w:ascii="仿宋" w:hAnsi="仿宋" w:eastAsia="仿宋" w:cs="Times New Roman"/>
                <w:kern w:val="2"/>
                <w:sz w:val="22"/>
                <w:szCs w:val="22"/>
                <w:highlight w:val="none"/>
                <w:lang w:val="en-US" w:eastAsia="zh-CN" w:bidi="ar-SA"/>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4" w:hRule="atLeast"/>
        </w:trPr>
        <w:tc>
          <w:tcPr>
            <w:tcW w:w="0" w:type="auto"/>
            <w:tcBorders>
              <w:top w:val="single" w:color="auto" w:sz="4" w:space="0"/>
              <w:left w:val="single" w:color="auto" w:sz="4" w:space="0"/>
              <w:bottom w:val="single" w:color="auto" w:sz="4" w:space="0"/>
              <w:right w:val="single" w:color="auto" w:sz="4" w:space="0"/>
            </w:tcBorders>
            <w:noWrap w:val="0"/>
            <w:tcMar>
              <w:top w:w="12" w:type="dxa"/>
              <w:left w:w="12" w:type="dxa"/>
              <w:bottom w:w="0" w:type="dxa"/>
              <w:right w:w="12" w:type="dxa"/>
            </w:tcMar>
            <w:vAlign w:val="center"/>
          </w:tcPr>
          <w:p>
            <w:pPr>
              <w:widowControl/>
              <w:jc w:val="center"/>
              <w:textAlignment w:val="center"/>
              <w:rPr>
                <w:rFonts w:ascii="仿宋" w:hAnsi="仿宋" w:eastAsia="仿宋"/>
                <w:color w:val="000000"/>
                <w:sz w:val="28"/>
                <w:szCs w:val="28"/>
                <w:highlight w:val="none"/>
              </w:rPr>
            </w:pPr>
            <w:r>
              <w:rPr>
                <w:rFonts w:hint="eastAsia" w:ascii="仿宋" w:hAnsi="仿宋" w:eastAsia="仿宋"/>
                <w:color w:val="000000"/>
                <w:kern w:val="0"/>
                <w:sz w:val="28"/>
                <w:szCs w:val="28"/>
                <w:highlight w:val="none"/>
              </w:rPr>
              <w:t>3</w:t>
            </w:r>
          </w:p>
        </w:tc>
        <w:tc>
          <w:tcPr>
            <w:tcW w:w="0" w:type="auto"/>
            <w:tcBorders>
              <w:top w:val="single" w:color="auto" w:sz="4" w:space="0"/>
              <w:left w:val="nil"/>
              <w:bottom w:val="single" w:color="auto" w:sz="4" w:space="0"/>
              <w:right w:val="single" w:color="auto" w:sz="4" w:space="0"/>
            </w:tcBorders>
            <w:noWrap w:val="0"/>
            <w:tcMar>
              <w:top w:w="12" w:type="dxa"/>
              <w:left w:w="12" w:type="dxa"/>
              <w:bottom w:w="0" w:type="dxa"/>
              <w:right w:w="12" w:type="dxa"/>
            </w:tcMar>
            <w:vAlign w:val="center"/>
          </w:tcPr>
          <w:p>
            <w:pPr>
              <w:pStyle w:val="7"/>
              <w:snapToGrid w:val="0"/>
              <w:spacing w:line="360" w:lineRule="auto"/>
              <w:jc w:val="center"/>
              <w:rPr>
                <w:rFonts w:hint="eastAsia" w:ascii="仿宋" w:hAnsi="仿宋" w:eastAsia="仿宋" w:cs="Times New Roman"/>
                <w:kern w:val="2"/>
                <w:sz w:val="28"/>
                <w:szCs w:val="28"/>
                <w:highlight w:val="none"/>
                <w:lang w:val="en-US" w:eastAsia="zh-CN" w:bidi="ar-SA"/>
              </w:rPr>
            </w:pPr>
            <w:r>
              <w:rPr>
                <w:rFonts w:hint="eastAsia" w:ascii="仿宋" w:hAnsi="仿宋" w:eastAsia="仿宋" w:cs="Times New Roman"/>
                <w:kern w:val="2"/>
                <w:sz w:val="28"/>
                <w:szCs w:val="28"/>
                <w:highlight w:val="none"/>
                <w:lang w:val="en-US" w:eastAsia="zh-CN" w:bidi="ar-SA"/>
              </w:rPr>
              <w:t>北汽新能源汽车方向模块化课程</w:t>
            </w:r>
          </w:p>
        </w:tc>
        <w:tc>
          <w:tcPr>
            <w:tcW w:w="0" w:type="auto"/>
            <w:tcBorders>
              <w:top w:val="single" w:color="auto" w:sz="4" w:space="0"/>
              <w:left w:val="nil"/>
              <w:bottom w:val="single" w:color="auto" w:sz="4" w:space="0"/>
              <w:right w:val="single" w:color="auto" w:sz="4" w:space="0"/>
            </w:tcBorders>
            <w:noWrap w:val="0"/>
            <w:tcMar>
              <w:top w:w="12" w:type="dxa"/>
              <w:left w:w="12" w:type="dxa"/>
              <w:bottom w:w="0" w:type="dxa"/>
              <w:right w:w="12" w:type="dxa"/>
            </w:tcMar>
            <w:vAlign w:val="center"/>
          </w:tcPr>
          <w:p>
            <w:pPr>
              <w:spacing w:line="480" w:lineRule="exact"/>
              <w:jc w:val="left"/>
              <w:rPr>
                <w:rFonts w:ascii="仿宋" w:hAnsi="仿宋" w:eastAsia="仿宋"/>
                <w:color w:val="000000"/>
                <w:sz w:val="22"/>
                <w:szCs w:val="22"/>
                <w:highlight w:val="none"/>
              </w:rPr>
            </w:pPr>
            <w:r>
              <w:rPr>
                <w:rFonts w:hint="eastAsia" w:ascii="仿宋" w:hAnsi="仿宋" w:eastAsia="仿宋" w:cs="Times New Roman"/>
                <w:sz w:val="22"/>
                <w:szCs w:val="22"/>
                <w:highlight w:val="none"/>
                <w:lang w:val="en-US" w:eastAsia="zh-CN"/>
              </w:rPr>
              <w:t>按照北汽校企合作要求，采取理实一体、工学结合的教学模式，开展企业文化、安全操作规范、车辆认知、Elsa 信息系统、车辆保养模块、电器模块、新能源汽车高压模块、变速器模块、底盘模块、空调模块、诊断模块等模块的学习。</w:t>
            </w:r>
          </w:p>
        </w:tc>
        <w:tc>
          <w:tcPr>
            <w:tcW w:w="0" w:type="auto"/>
            <w:tcBorders>
              <w:top w:val="single" w:color="auto" w:sz="4" w:space="0"/>
              <w:left w:val="nil"/>
              <w:bottom w:val="single" w:color="auto" w:sz="4" w:space="0"/>
              <w:right w:val="single" w:color="auto" w:sz="4" w:space="0"/>
            </w:tcBorders>
            <w:noWrap w:val="0"/>
            <w:tcMar>
              <w:top w:w="12" w:type="dxa"/>
              <w:left w:w="12" w:type="dxa"/>
              <w:bottom w:w="0" w:type="dxa"/>
              <w:right w:w="12" w:type="dxa"/>
            </w:tcMar>
            <w:vAlign w:val="center"/>
          </w:tcPr>
          <w:p>
            <w:pPr>
              <w:widowControl/>
              <w:jc w:val="center"/>
              <w:textAlignment w:val="center"/>
              <w:rPr>
                <w:rFonts w:hint="default" w:ascii="仿宋" w:hAnsi="仿宋" w:eastAsia="仿宋" w:cs="Times New Roman"/>
                <w:kern w:val="2"/>
                <w:sz w:val="22"/>
                <w:szCs w:val="22"/>
                <w:highlight w:val="none"/>
                <w:lang w:val="en-US" w:eastAsia="zh-CN" w:bidi="ar-SA"/>
              </w:rPr>
            </w:pPr>
            <w:r>
              <w:rPr>
                <w:rFonts w:hint="eastAsia" w:ascii="仿宋" w:hAnsi="仿宋" w:eastAsia="仿宋" w:cs="Times New Roman"/>
                <w:kern w:val="2"/>
                <w:sz w:val="22"/>
                <w:szCs w:val="22"/>
                <w:highlight w:val="none"/>
                <w:lang w:val="en-US" w:eastAsia="zh-CN" w:bidi="ar-SA"/>
              </w:rPr>
              <w:t>108</w:t>
            </w:r>
          </w:p>
        </w:tc>
      </w:tr>
    </w:tbl>
    <w:p>
      <w:pPr>
        <w:numPr>
          <w:ilvl w:val="0"/>
          <w:numId w:val="0"/>
        </w:numPr>
        <w:jc w:val="left"/>
        <w:rPr>
          <w:rFonts w:hint="eastAsia" w:ascii="仿宋" w:hAnsi="仿宋" w:eastAsia="仿宋"/>
          <w:sz w:val="28"/>
          <w:szCs w:val="28"/>
          <w:highlight w:val="none"/>
          <w:lang w:eastAsia="zh-CN"/>
        </w:rPr>
      </w:pPr>
    </w:p>
    <w:p>
      <w:pPr>
        <w:numPr>
          <w:ilvl w:val="0"/>
          <w:numId w:val="0"/>
        </w:numPr>
        <w:jc w:val="left"/>
        <w:rPr>
          <w:rFonts w:hint="eastAsia" w:ascii="仿宋" w:hAnsi="仿宋" w:eastAsia="仿宋"/>
          <w:sz w:val="28"/>
          <w:szCs w:val="28"/>
          <w:highlight w:val="none"/>
        </w:rPr>
      </w:pPr>
      <w:r>
        <w:rPr>
          <w:rFonts w:hint="eastAsia" w:ascii="仿宋" w:hAnsi="仿宋" w:eastAsia="仿宋"/>
          <w:sz w:val="28"/>
          <w:szCs w:val="28"/>
          <w:highlight w:val="none"/>
          <w:lang w:eastAsia="zh-CN"/>
        </w:rPr>
        <w:t>（三）</w:t>
      </w:r>
      <w:r>
        <w:rPr>
          <w:rFonts w:hint="eastAsia" w:ascii="仿宋" w:hAnsi="仿宋" w:eastAsia="仿宋"/>
          <w:sz w:val="28"/>
          <w:szCs w:val="28"/>
          <w:highlight w:val="none"/>
        </w:rPr>
        <w:t>教学计划进度表（以周为单位）</w:t>
      </w:r>
    </w:p>
    <w:tbl>
      <w:tblPr>
        <w:tblStyle w:val="13"/>
        <w:tblW w:w="4999" w:type="pct"/>
        <w:tblInd w:w="0" w:type="dxa"/>
        <w:tblLayout w:type="autofit"/>
        <w:tblCellMar>
          <w:top w:w="0" w:type="dxa"/>
          <w:left w:w="0" w:type="dxa"/>
          <w:bottom w:w="0" w:type="dxa"/>
          <w:right w:w="0" w:type="dxa"/>
        </w:tblCellMar>
      </w:tblPr>
      <w:tblGrid>
        <w:gridCol w:w="617"/>
        <w:gridCol w:w="345"/>
        <w:gridCol w:w="345"/>
        <w:gridCol w:w="345"/>
        <w:gridCol w:w="346"/>
        <w:gridCol w:w="346"/>
        <w:gridCol w:w="346"/>
        <w:gridCol w:w="346"/>
        <w:gridCol w:w="346"/>
        <w:gridCol w:w="346"/>
        <w:gridCol w:w="346"/>
        <w:gridCol w:w="346"/>
        <w:gridCol w:w="362"/>
        <w:gridCol w:w="346"/>
        <w:gridCol w:w="362"/>
        <w:gridCol w:w="362"/>
        <w:gridCol w:w="362"/>
        <w:gridCol w:w="363"/>
        <w:gridCol w:w="363"/>
        <w:gridCol w:w="364"/>
        <w:gridCol w:w="364"/>
        <w:gridCol w:w="660"/>
      </w:tblGrid>
      <w:tr>
        <w:tblPrEx>
          <w:tblCellMar>
            <w:top w:w="0" w:type="dxa"/>
            <w:left w:w="0" w:type="dxa"/>
            <w:bottom w:w="0" w:type="dxa"/>
            <w:right w:w="0" w:type="dxa"/>
          </w:tblCellMar>
        </w:tblPrEx>
        <w:trPr>
          <w:trHeight w:val="454" w:hRule="atLeast"/>
        </w:trPr>
        <w:tc>
          <w:tcPr>
            <w:tcW w:w="704" w:type="dxa"/>
            <w:vMerge w:val="restart"/>
            <w:tcBorders>
              <w:top w:val="single" w:color="000000" w:sz="8" w:space="0"/>
              <w:left w:val="single" w:color="000000" w:sz="8" w:space="0"/>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eastAsia" w:ascii="宋体" w:hAnsi="宋体" w:eastAsia="宋体" w:cs="Calibri"/>
                <w:color w:val="000000"/>
                <w:sz w:val="22"/>
                <w:szCs w:val="22"/>
                <w:highlight w:val="none"/>
                <w:lang w:val="en-US" w:eastAsia="zh-CN"/>
              </w:rPr>
            </w:pPr>
            <w:r>
              <w:rPr>
                <w:rFonts w:hint="eastAsia" w:ascii="宋体" w:hAnsi="宋体" w:eastAsia="宋体"/>
                <w:kern w:val="0"/>
                <w:sz w:val="22"/>
                <w:szCs w:val="22"/>
              </w:rPr>
              <w:t>学期</w:t>
            </w:r>
          </w:p>
        </w:tc>
        <w:tc>
          <w:tcPr>
            <w:tcW w:w="8303" w:type="dxa"/>
            <w:gridSpan w:val="21"/>
            <w:tcBorders>
              <w:top w:val="single" w:color="000000" w:sz="8" w:space="0"/>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周次</w:t>
            </w:r>
          </w:p>
        </w:tc>
      </w:tr>
      <w:tr>
        <w:tblPrEx>
          <w:tblCellMar>
            <w:top w:w="0" w:type="dxa"/>
            <w:left w:w="0" w:type="dxa"/>
            <w:bottom w:w="0" w:type="dxa"/>
            <w:right w:w="0" w:type="dxa"/>
          </w:tblCellMar>
        </w:tblPrEx>
        <w:trPr>
          <w:trHeight w:val="454" w:hRule="atLeast"/>
        </w:trPr>
        <w:tc>
          <w:tcPr>
            <w:tcW w:w="704"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hint="default" w:ascii="宋体" w:hAnsi="宋体" w:eastAsia="宋体" w:cs="Calibri"/>
                <w:color w:val="000000"/>
                <w:sz w:val="22"/>
                <w:szCs w:val="22"/>
                <w:highlight w:val="none"/>
                <w:lang w:val="en-US"/>
              </w:rPr>
            </w:pP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1</w:t>
            </w:r>
          </w:p>
        </w:tc>
        <w:tc>
          <w:tcPr>
            <w:tcW w:w="369" w:type="dxa"/>
            <w:tcBorders>
              <w:top w:val="single" w:color="000000" w:sz="8" w:space="0"/>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2</w:t>
            </w:r>
          </w:p>
        </w:tc>
        <w:tc>
          <w:tcPr>
            <w:tcW w:w="369" w:type="dxa"/>
            <w:tcBorders>
              <w:top w:val="single" w:color="000000" w:sz="8" w:space="0"/>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3</w:t>
            </w:r>
          </w:p>
        </w:tc>
        <w:tc>
          <w:tcPr>
            <w:tcW w:w="369" w:type="dxa"/>
            <w:tcBorders>
              <w:top w:val="single" w:color="000000" w:sz="8" w:space="0"/>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4</w:t>
            </w:r>
          </w:p>
        </w:tc>
        <w:tc>
          <w:tcPr>
            <w:tcW w:w="369" w:type="dxa"/>
            <w:tcBorders>
              <w:top w:val="single" w:color="000000" w:sz="8" w:space="0"/>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5</w:t>
            </w:r>
          </w:p>
        </w:tc>
        <w:tc>
          <w:tcPr>
            <w:tcW w:w="369" w:type="dxa"/>
            <w:tcBorders>
              <w:top w:val="single" w:color="000000" w:sz="8" w:space="0"/>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6</w:t>
            </w:r>
          </w:p>
        </w:tc>
        <w:tc>
          <w:tcPr>
            <w:tcW w:w="369" w:type="dxa"/>
            <w:tcBorders>
              <w:top w:val="single" w:color="000000" w:sz="8" w:space="0"/>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7</w:t>
            </w:r>
          </w:p>
        </w:tc>
        <w:tc>
          <w:tcPr>
            <w:tcW w:w="369" w:type="dxa"/>
            <w:tcBorders>
              <w:top w:val="single" w:color="000000" w:sz="8" w:space="0"/>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8</w:t>
            </w:r>
          </w:p>
        </w:tc>
        <w:tc>
          <w:tcPr>
            <w:tcW w:w="369" w:type="dxa"/>
            <w:tcBorders>
              <w:top w:val="single" w:color="000000" w:sz="8" w:space="0"/>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9</w:t>
            </w:r>
          </w:p>
        </w:tc>
        <w:tc>
          <w:tcPr>
            <w:tcW w:w="369" w:type="dxa"/>
            <w:tcBorders>
              <w:top w:val="single" w:color="000000" w:sz="8" w:space="0"/>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10</w:t>
            </w:r>
          </w:p>
        </w:tc>
        <w:tc>
          <w:tcPr>
            <w:tcW w:w="369" w:type="dxa"/>
            <w:tcBorders>
              <w:top w:val="single" w:color="000000" w:sz="8" w:space="0"/>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11</w:t>
            </w:r>
          </w:p>
        </w:tc>
        <w:tc>
          <w:tcPr>
            <w:tcW w:w="389" w:type="dxa"/>
            <w:tcBorders>
              <w:top w:val="single" w:color="000000" w:sz="8" w:space="0"/>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12</w:t>
            </w:r>
          </w:p>
        </w:tc>
        <w:tc>
          <w:tcPr>
            <w:tcW w:w="369" w:type="dxa"/>
            <w:tcBorders>
              <w:top w:val="single" w:color="000000" w:sz="8" w:space="0"/>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13</w:t>
            </w:r>
          </w:p>
        </w:tc>
        <w:tc>
          <w:tcPr>
            <w:tcW w:w="389" w:type="dxa"/>
            <w:tcBorders>
              <w:top w:val="single" w:color="000000" w:sz="8" w:space="0"/>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14</w:t>
            </w:r>
          </w:p>
        </w:tc>
        <w:tc>
          <w:tcPr>
            <w:tcW w:w="389" w:type="dxa"/>
            <w:tcBorders>
              <w:top w:val="single" w:color="000000" w:sz="8" w:space="0"/>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15</w:t>
            </w:r>
          </w:p>
        </w:tc>
        <w:tc>
          <w:tcPr>
            <w:tcW w:w="389" w:type="dxa"/>
            <w:tcBorders>
              <w:top w:val="single" w:color="000000" w:sz="8" w:space="0"/>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16</w:t>
            </w:r>
          </w:p>
        </w:tc>
        <w:tc>
          <w:tcPr>
            <w:tcW w:w="390" w:type="dxa"/>
            <w:tcBorders>
              <w:top w:val="single" w:color="000000" w:sz="8" w:space="0"/>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17</w:t>
            </w:r>
          </w:p>
        </w:tc>
        <w:tc>
          <w:tcPr>
            <w:tcW w:w="390" w:type="dxa"/>
            <w:tcBorders>
              <w:top w:val="single" w:color="000000" w:sz="8" w:space="0"/>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18</w:t>
            </w:r>
          </w:p>
        </w:tc>
        <w:tc>
          <w:tcPr>
            <w:tcW w:w="392" w:type="dxa"/>
            <w:tcBorders>
              <w:top w:val="single" w:color="000000" w:sz="8" w:space="0"/>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19</w:t>
            </w:r>
          </w:p>
        </w:tc>
        <w:tc>
          <w:tcPr>
            <w:tcW w:w="392" w:type="dxa"/>
            <w:tcBorders>
              <w:top w:val="single" w:color="000000" w:sz="8" w:space="0"/>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20</w:t>
            </w:r>
          </w:p>
        </w:tc>
        <w:tc>
          <w:tcPr>
            <w:tcW w:w="755" w:type="dxa"/>
            <w:tcBorders>
              <w:top w:val="single" w:color="000000" w:sz="8" w:space="0"/>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假期</w:t>
            </w:r>
          </w:p>
        </w:tc>
      </w:tr>
      <w:tr>
        <w:tblPrEx>
          <w:tblCellMar>
            <w:top w:w="0" w:type="dxa"/>
            <w:left w:w="0" w:type="dxa"/>
            <w:bottom w:w="0" w:type="dxa"/>
            <w:right w:w="0" w:type="dxa"/>
          </w:tblCellMar>
        </w:tblPrEx>
        <w:trPr>
          <w:trHeight w:val="454" w:hRule="atLeast"/>
        </w:trPr>
        <w:tc>
          <w:tcPr>
            <w:tcW w:w="704" w:type="dxa"/>
            <w:tcBorders>
              <w:top w:val="nil"/>
              <w:left w:val="single" w:color="000000" w:sz="8" w:space="0"/>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1</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8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8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8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8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90"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90"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92"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92"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16"/>
                <w:szCs w:val="16"/>
                <w:highlight w:val="none"/>
                <w:lang w:val="en-US"/>
              </w:rPr>
            </w:pPr>
            <w:r>
              <w:rPr>
                <w:rFonts w:hint="eastAsia" w:ascii="宋体" w:hAnsi="宋体" w:eastAsia="宋体"/>
                <w:kern w:val="0"/>
                <w:sz w:val="16"/>
                <w:szCs w:val="16"/>
              </w:rPr>
              <w:t>▲</w:t>
            </w:r>
          </w:p>
        </w:tc>
        <w:tc>
          <w:tcPr>
            <w:tcW w:w="755"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16"/>
                <w:szCs w:val="16"/>
                <w:highlight w:val="none"/>
                <w:lang w:val="en-US"/>
              </w:rPr>
            </w:pPr>
            <w:r>
              <w:rPr>
                <w:rFonts w:hint="eastAsia" w:ascii="宋体" w:hAnsi="宋体" w:eastAsia="宋体"/>
                <w:kern w:val="0"/>
                <w:sz w:val="16"/>
                <w:szCs w:val="16"/>
              </w:rPr>
              <w:t>4周</w:t>
            </w:r>
          </w:p>
        </w:tc>
      </w:tr>
      <w:tr>
        <w:tblPrEx>
          <w:tblCellMar>
            <w:top w:w="0" w:type="dxa"/>
            <w:left w:w="0" w:type="dxa"/>
            <w:bottom w:w="0" w:type="dxa"/>
            <w:right w:w="0" w:type="dxa"/>
          </w:tblCellMar>
        </w:tblPrEx>
        <w:trPr>
          <w:trHeight w:val="454" w:hRule="atLeast"/>
        </w:trPr>
        <w:tc>
          <w:tcPr>
            <w:tcW w:w="704" w:type="dxa"/>
            <w:tcBorders>
              <w:top w:val="nil"/>
              <w:left w:val="single" w:color="000000" w:sz="8" w:space="0"/>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2</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8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8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8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8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90"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90"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92"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16"/>
                <w:szCs w:val="16"/>
              </w:rPr>
              <w:t>▲</w:t>
            </w:r>
          </w:p>
        </w:tc>
        <w:tc>
          <w:tcPr>
            <w:tcW w:w="392"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16"/>
                <w:szCs w:val="16"/>
                <w:highlight w:val="none"/>
                <w:lang w:val="en-US"/>
              </w:rPr>
            </w:pPr>
            <w:r>
              <w:rPr>
                <w:rFonts w:hint="eastAsia" w:ascii="宋体" w:hAnsi="宋体" w:eastAsia="宋体"/>
                <w:kern w:val="0"/>
                <w:sz w:val="16"/>
                <w:szCs w:val="16"/>
              </w:rPr>
              <w:t>▲</w:t>
            </w:r>
          </w:p>
        </w:tc>
        <w:tc>
          <w:tcPr>
            <w:tcW w:w="755"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16"/>
                <w:szCs w:val="16"/>
                <w:highlight w:val="none"/>
                <w:lang w:val="en-US"/>
              </w:rPr>
            </w:pPr>
            <w:r>
              <w:rPr>
                <w:rFonts w:hint="eastAsia" w:ascii="宋体" w:hAnsi="宋体" w:eastAsia="宋体"/>
                <w:kern w:val="0"/>
                <w:sz w:val="16"/>
                <w:szCs w:val="16"/>
              </w:rPr>
              <w:t>8周</w:t>
            </w:r>
          </w:p>
        </w:tc>
      </w:tr>
      <w:tr>
        <w:tblPrEx>
          <w:tblCellMar>
            <w:top w:w="0" w:type="dxa"/>
            <w:left w:w="0" w:type="dxa"/>
            <w:bottom w:w="0" w:type="dxa"/>
            <w:right w:w="0" w:type="dxa"/>
          </w:tblCellMar>
        </w:tblPrEx>
        <w:trPr>
          <w:trHeight w:val="454" w:hRule="atLeast"/>
        </w:trPr>
        <w:tc>
          <w:tcPr>
            <w:tcW w:w="704" w:type="dxa"/>
            <w:tcBorders>
              <w:top w:val="nil"/>
              <w:left w:val="single" w:color="000000" w:sz="8" w:space="0"/>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3</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8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8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8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8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90"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90"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92"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16"/>
                <w:szCs w:val="16"/>
              </w:rPr>
              <w:t>▲</w:t>
            </w:r>
          </w:p>
        </w:tc>
        <w:tc>
          <w:tcPr>
            <w:tcW w:w="392"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16"/>
                <w:szCs w:val="16"/>
                <w:highlight w:val="none"/>
                <w:lang w:val="en-US"/>
              </w:rPr>
            </w:pPr>
            <w:r>
              <w:rPr>
                <w:rFonts w:hint="eastAsia" w:ascii="宋体" w:hAnsi="宋体" w:eastAsia="宋体"/>
                <w:kern w:val="0"/>
                <w:sz w:val="16"/>
                <w:szCs w:val="16"/>
              </w:rPr>
              <w:t>▲</w:t>
            </w:r>
          </w:p>
        </w:tc>
        <w:tc>
          <w:tcPr>
            <w:tcW w:w="755"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16"/>
                <w:szCs w:val="16"/>
                <w:highlight w:val="none"/>
                <w:lang w:val="en-US"/>
              </w:rPr>
            </w:pPr>
            <w:r>
              <w:rPr>
                <w:rFonts w:hint="eastAsia" w:ascii="宋体" w:hAnsi="宋体" w:eastAsia="宋体"/>
                <w:kern w:val="0"/>
                <w:sz w:val="16"/>
                <w:szCs w:val="16"/>
              </w:rPr>
              <w:t>4周</w:t>
            </w:r>
          </w:p>
        </w:tc>
      </w:tr>
      <w:tr>
        <w:tblPrEx>
          <w:tblCellMar>
            <w:top w:w="0" w:type="dxa"/>
            <w:left w:w="0" w:type="dxa"/>
            <w:bottom w:w="0" w:type="dxa"/>
            <w:right w:w="0" w:type="dxa"/>
          </w:tblCellMar>
        </w:tblPrEx>
        <w:trPr>
          <w:trHeight w:val="454" w:hRule="atLeast"/>
        </w:trPr>
        <w:tc>
          <w:tcPr>
            <w:tcW w:w="704" w:type="dxa"/>
            <w:tcBorders>
              <w:top w:val="nil"/>
              <w:left w:val="single" w:color="000000" w:sz="8" w:space="0"/>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4</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8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8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8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8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90"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90"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92"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16"/>
                <w:szCs w:val="16"/>
              </w:rPr>
              <w:t>▲</w:t>
            </w:r>
          </w:p>
        </w:tc>
        <w:tc>
          <w:tcPr>
            <w:tcW w:w="392"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16"/>
                <w:szCs w:val="16"/>
                <w:highlight w:val="none"/>
                <w:lang w:val="en-US"/>
              </w:rPr>
            </w:pPr>
            <w:r>
              <w:rPr>
                <w:rFonts w:hint="eastAsia" w:ascii="宋体" w:hAnsi="宋体" w:eastAsia="宋体"/>
                <w:kern w:val="0"/>
                <w:sz w:val="16"/>
                <w:szCs w:val="16"/>
              </w:rPr>
              <w:t>▲</w:t>
            </w:r>
          </w:p>
        </w:tc>
        <w:tc>
          <w:tcPr>
            <w:tcW w:w="755"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16"/>
                <w:szCs w:val="16"/>
                <w:highlight w:val="none"/>
                <w:lang w:val="en-US"/>
              </w:rPr>
            </w:pPr>
            <w:r>
              <w:rPr>
                <w:rFonts w:hint="eastAsia" w:ascii="宋体" w:hAnsi="宋体" w:eastAsia="宋体"/>
                <w:kern w:val="0"/>
                <w:sz w:val="16"/>
                <w:szCs w:val="16"/>
              </w:rPr>
              <w:t>8周</w:t>
            </w:r>
          </w:p>
        </w:tc>
      </w:tr>
      <w:tr>
        <w:tblPrEx>
          <w:tblCellMar>
            <w:top w:w="0" w:type="dxa"/>
            <w:left w:w="0" w:type="dxa"/>
            <w:bottom w:w="0" w:type="dxa"/>
            <w:right w:w="0" w:type="dxa"/>
          </w:tblCellMar>
        </w:tblPrEx>
        <w:trPr>
          <w:trHeight w:val="454" w:hRule="atLeast"/>
        </w:trPr>
        <w:tc>
          <w:tcPr>
            <w:tcW w:w="704" w:type="dxa"/>
            <w:tcBorders>
              <w:top w:val="nil"/>
              <w:left w:val="single" w:color="000000" w:sz="8" w:space="0"/>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5</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8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8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8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16"/>
                <w:szCs w:val="16"/>
                <w:highlight w:val="none"/>
                <w:lang w:val="en-US"/>
              </w:rPr>
            </w:pPr>
            <w:r>
              <w:rPr>
                <w:rFonts w:hint="eastAsia" w:ascii="宋体" w:hAnsi="宋体" w:eastAsia="宋体"/>
                <w:kern w:val="0"/>
                <w:sz w:val="22"/>
                <w:szCs w:val="22"/>
              </w:rPr>
              <w:t>√</w:t>
            </w:r>
          </w:p>
        </w:tc>
        <w:tc>
          <w:tcPr>
            <w:tcW w:w="38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90"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90"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92"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16"/>
                <w:szCs w:val="16"/>
              </w:rPr>
              <w:t>▲</w:t>
            </w:r>
          </w:p>
        </w:tc>
        <w:tc>
          <w:tcPr>
            <w:tcW w:w="392"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16"/>
                <w:szCs w:val="16"/>
              </w:rPr>
              <w:t>▲</w:t>
            </w:r>
          </w:p>
        </w:tc>
        <w:tc>
          <w:tcPr>
            <w:tcW w:w="755"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16"/>
                <w:szCs w:val="16"/>
                <w:highlight w:val="none"/>
                <w:lang w:val="en-US"/>
              </w:rPr>
            </w:pPr>
            <w:r>
              <w:rPr>
                <w:rFonts w:hint="eastAsia" w:ascii="宋体" w:hAnsi="宋体" w:eastAsia="宋体"/>
                <w:kern w:val="0"/>
                <w:sz w:val="16"/>
                <w:szCs w:val="16"/>
              </w:rPr>
              <w:t>4周</w:t>
            </w:r>
          </w:p>
        </w:tc>
      </w:tr>
      <w:tr>
        <w:tblPrEx>
          <w:tblCellMar>
            <w:top w:w="0" w:type="dxa"/>
            <w:left w:w="0" w:type="dxa"/>
            <w:bottom w:w="0" w:type="dxa"/>
            <w:right w:w="0" w:type="dxa"/>
          </w:tblCellMar>
        </w:tblPrEx>
        <w:trPr>
          <w:trHeight w:val="468" w:hRule="atLeast"/>
        </w:trPr>
        <w:tc>
          <w:tcPr>
            <w:tcW w:w="704" w:type="dxa"/>
            <w:tcBorders>
              <w:top w:val="nil"/>
              <w:left w:val="single" w:color="000000" w:sz="8" w:space="0"/>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6</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8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6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8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8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89"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90"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90"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92"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392"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22"/>
                <w:szCs w:val="22"/>
              </w:rPr>
              <w:t>●</w:t>
            </w:r>
          </w:p>
        </w:tc>
        <w:tc>
          <w:tcPr>
            <w:tcW w:w="755" w:type="dxa"/>
            <w:tcBorders>
              <w:top w:val="nil"/>
              <w:left w:val="nil"/>
              <w:bottom w:val="single" w:color="000000" w:sz="8" w:space="0"/>
              <w:right w:val="single" w:color="000000" w:sz="8" w:space="0"/>
            </w:tcBorders>
            <w:noWrap w:val="0"/>
            <w:tcMar>
              <w:top w:w="12" w:type="dxa"/>
              <w:left w:w="12" w:type="dxa"/>
              <w:bottom w:w="0" w:type="dxa"/>
              <w:right w:w="12" w:type="dxa"/>
            </w:tcMar>
            <w:vAlign w:val="center"/>
          </w:tcPr>
          <w:p>
            <w:pPr>
              <w:widowControl/>
              <w:jc w:val="center"/>
              <w:textAlignment w:val="center"/>
              <w:rPr>
                <w:rFonts w:hint="default" w:ascii="宋体" w:hAnsi="宋体" w:eastAsia="宋体" w:cs="Calibri"/>
                <w:color w:val="000000"/>
                <w:sz w:val="22"/>
                <w:szCs w:val="22"/>
                <w:highlight w:val="none"/>
                <w:lang w:val="en-US"/>
              </w:rPr>
            </w:pPr>
            <w:r>
              <w:rPr>
                <w:rFonts w:hint="eastAsia" w:ascii="宋体" w:hAnsi="宋体" w:eastAsia="宋体"/>
                <w:kern w:val="0"/>
                <w:sz w:val="16"/>
                <w:szCs w:val="16"/>
              </w:rPr>
              <w:t>8周</w:t>
            </w:r>
          </w:p>
        </w:tc>
      </w:tr>
    </w:tbl>
    <w:p>
      <w:pPr>
        <w:jc w:val="left"/>
        <w:rPr>
          <w:rFonts w:hint="eastAsia" w:ascii="宋体" w:hAnsi="宋体" w:eastAsia="宋体"/>
          <w:sz w:val="21"/>
          <w:szCs w:val="21"/>
          <w:highlight w:val="none"/>
        </w:rPr>
      </w:pPr>
      <w:r>
        <w:rPr>
          <w:rFonts w:hint="eastAsia" w:ascii="宋体" w:hAnsi="宋体" w:eastAsia="宋体"/>
          <w:sz w:val="24"/>
          <w:szCs w:val="24"/>
          <w:highlight w:val="none"/>
        </w:rPr>
        <w:t xml:space="preserve">〓：军训及入学教育  √：课堂教学  </w:t>
      </w:r>
      <w:r>
        <w:rPr>
          <w:rFonts w:hint="eastAsia" w:ascii="宋体" w:hAnsi="宋体" w:eastAsia="宋体"/>
          <w:sz w:val="21"/>
          <w:szCs w:val="21"/>
          <w:highlight w:val="none"/>
        </w:rPr>
        <w:t>▲：复习考试  ◎：顶岗实习  ●：毕业考核</w:t>
      </w:r>
    </w:p>
    <w:p>
      <w:pPr>
        <w:jc w:val="left"/>
        <w:rPr>
          <w:rFonts w:hint="eastAsia" w:ascii="仿宋" w:hAnsi="仿宋" w:eastAsia="仿宋"/>
          <w:sz w:val="28"/>
          <w:szCs w:val="28"/>
          <w:highlight w:val="none"/>
        </w:rPr>
      </w:pPr>
    </w:p>
    <w:p>
      <w:pPr>
        <w:jc w:val="left"/>
        <w:rPr>
          <w:rFonts w:hint="eastAsia" w:ascii="仿宋" w:hAnsi="仿宋" w:eastAsia="仿宋"/>
          <w:sz w:val="28"/>
          <w:szCs w:val="28"/>
          <w:highlight w:val="none"/>
        </w:rPr>
      </w:pPr>
    </w:p>
    <w:p>
      <w:pPr>
        <w:jc w:val="left"/>
        <w:rPr>
          <w:rFonts w:hint="eastAsia" w:ascii="仿宋" w:hAnsi="仿宋" w:eastAsia="仿宋"/>
          <w:sz w:val="28"/>
          <w:szCs w:val="28"/>
          <w:highlight w:val="none"/>
        </w:rPr>
      </w:pPr>
    </w:p>
    <w:p>
      <w:pPr>
        <w:jc w:val="left"/>
        <w:rPr>
          <w:rFonts w:hint="eastAsia" w:ascii="仿宋" w:hAnsi="仿宋" w:eastAsia="仿宋"/>
          <w:sz w:val="28"/>
          <w:szCs w:val="28"/>
          <w:highlight w:val="none"/>
        </w:rPr>
      </w:pPr>
    </w:p>
    <w:p>
      <w:pPr>
        <w:jc w:val="left"/>
        <w:rPr>
          <w:rFonts w:hint="eastAsia" w:ascii="仿宋" w:hAnsi="仿宋" w:eastAsia="仿宋"/>
          <w:sz w:val="28"/>
          <w:szCs w:val="28"/>
          <w:highlight w:val="none"/>
        </w:rPr>
      </w:pPr>
    </w:p>
    <w:p>
      <w:pPr>
        <w:jc w:val="left"/>
        <w:rPr>
          <w:rFonts w:hint="eastAsia" w:ascii="仿宋" w:hAnsi="仿宋" w:eastAsia="仿宋"/>
          <w:sz w:val="28"/>
          <w:szCs w:val="28"/>
          <w:highlight w:val="none"/>
        </w:rPr>
      </w:pPr>
    </w:p>
    <w:p>
      <w:pPr>
        <w:jc w:val="left"/>
        <w:rPr>
          <w:rFonts w:hint="eastAsia" w:ascii="仿宋" w:hAnsi="仿宋" w:eastAsia="仿宋"/>
          <w:sz w:val="28"/>
          <w:szCs w:val="28"/>
          <w:highlight w:val="none"/>
        </w:rPr>
      </w:pPr>
      <w:r>
        <w:rPr>
          <w:rFonts w:hint="eastAsia" w:ascii="仿宋" w:hAnsi="仿宋" w:eastAsia="仿宋"/>
          <w:sz w:val="28"/>
          <w:szCs w:val="28"/>
          <w:highlight w:val="none"/>
        </w:rPr>
        <w:t>（四）教学计划</w:t>
      </w:r>
    </w:p>
    <w:tbl>
      <w:tblPr>
        <w:tblStyle w:val="13"/>
        <w:tblW w:w="9139" w:type="dxa"/>
        <w:tblInd w:w="5" w:type="dxa"/>
        <w:tblLayout w:type="autofit"/>
        <w:tblCellMar>
          <w:top w:w="0" w:type="dxa"/>
          <w:left w:w="0" w:type="dxa"/>
          <w:bottom w:w="0" w:type="dxa"/>
          <w:right w:w="0" w:type="dxa"/>
        </w:tblCellMar>
      </w:tblPr>
      <w:tblGrid>
        <w:gridCol w:w="496"/>
        <w:gridCol w:w="500"/>
        <w:gridCol w:w="660"/>
        <w:gridCol w:w="384"/>
        <w:gridCol w:w="505"/>
        <w:gridCol w:w="505"/>
        <w:gridCol w:w="507"/>
        <w:gridCol w:w="530"/>
        <w:gridCol w:w="507"/>
        <w:gridCol w:w="507"/>
        <w:gridCol w:w="507"/>
        <w:gridCol w:w="507"/>
        <w:gridCol w:w="507"/>
        <w:gridCol w:w="543"/>
        <w:gridCol w:w="642"/>
        <w:gridCol w:w="633"/>
        <w:gridCol w:w="699"/>
      </w:tblGrid>
      <w:tr>
        <w:tblPrEx>
          <w:tblCellMar>
            <w:top w:w="0" w:type="dxa"/>
            <w:left w:w="0" w:type="dxa"/>
            <w:bottom w:w="0" w:type="dxa"/>
            <w:right w:w="0" w:type="dxa"/>
          </w:tblCellMar>
        </w:tblPrEx>
        <w:trPr>
          <w:trHeight w:val="318" w:hRule="atLeast"/>
        </w:trPr>
        <w:tc>
          <w:tcPr>
            <w:tcW w:w="272" w:type="pct"/>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类别</w:t>
            </w:r>
          </w:p>
        </w:tc>
        <w:tc>
          <w:tcPr>
            <w:tcW w:w="274" w:type="pct"/>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序号</w:t>
            </w:r>
          </w:p>
        </w:tc>
        <w:tc>
          <w:tcPr>
            <w:tcW w:w="360" w:type="pct"/>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课程名称</w:t>
            </w:r>
          </w:p>
        </w:tc>
        <w:tc>
          <w:tcPr>
            <w:tcW w:w="1329" w:type="pct"/>
            <w:gridSpan w:val="5"/>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学时数</w:t>
            </w:r>
          </w:p>
        </w:tc>
        <w:tc>
          <w:tcPr>
            <w:tcW w:w="1682" w:type="pct"/>
            <w:gridSpan w:val="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各学期周学时安排</w:t>
            </w:r>
          </w:p>
        </w:tc>
        <w:tc>
          <w:tcPr>
            <w:tcW w:w="351" w:type="pct"/>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考试学期</w:t>
            </w:r>
          </w:p>
        </w:tc>
        <w:tc>
          <w:tcPr>
            <w:tcW w:w="346" w:type="pct"/>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考查学期</w:t>
            </w:r>
          </w:p>
        </w:tc>
        <w:tc>
          <w:tcPr>
            <w:tcW w:w="382" w:type="pct"/>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职业资格证书</w:t>
            </w:r>
          </w:p>
        </w:tc>
      </w:tr>
      <w:tr>
        <w:tblPrEx>
          <w:tblCellMar>
            <w:top w:w="0" w:type="dxa"/>
            <w:left w:w="0" w:type="dxa"/>
            <w:bottom w:w="0" w:type="dxa"/>
            <w:right w:w="0" w:type="dxa"/>
          </w:tblCellMar>
        </w:tblPrEx>
        <w:trPr>
          <w:trHeight w:val="318" w:hRule="atLeast"/>
        </w:trPr>
        <w:tc>
          <w:tcPr>
            <w:tcW w:w="272"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20"/>
                <w:szCs w:val="20"/>
                <w:u w:val="none"/>
              </w:rPr>
            </w:pPr>
          </w:p>
        </w:tc>
        <w:tc>
          <w:tcPr>
            <w:tcW w:w="274"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20"/>
                <w:szCs w:val="20"/>
                <w:u w:val="none"/>
              </w:rPr>
            </w:pPr>
          </w:p>
        </w:tc>
        <w:tc>
          <w:tcPr>
            <w:tcW w:w="360"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20"/>
                <w:szCs w:val="20"/>
                <w:u w:val="none"/>
              </w:rPr>
            </w:pPr>
          </w:p>
        </w:tc>
        <w:tc>
          <w:tcPr>
            <w:tcW w:w="210" w:type="pct"/>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总学时</w:t>
            </w:r>
          </w:p>
        </w:tc>
        <w:tc>
          <w:tcPr>
            <w:tcW w:w="276" w:type="pct"/>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讲授</w:t>
            </w:r>
          </w:p>
        </w:tc>
        <w:tc>
          <w:tcPr>
            <w:tcW w:w="276" w:type="pct"/>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实验实习</w:t>
            </w:r>
          </w:p>
        </w:tc>
        <w:tc>
          <w:tcPr>
            <w:tcW w:w="277" w:type="pct"/>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讨论调查练习</w:t>
            </w:r>
          </w:p>
        </w:tc>
        <w:tc>
          <w:tcPr>
            <w:tcW w:w="289" w:type="pct"/>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机动</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一</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二</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三</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四</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五</w:t>
            </w:r>
          </w:p>
        </w:tc>
        <w:tc>
          <w:tcPr>
            <w:tcW w:w="295"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六</w:t>
            </w:r>
          </w:p>
        </w:tc>
        <w:tc>
          <w:tcPr>
            <w:tcW w:w="351"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20"/>
                <w:szCs w:val="20"/>
                <w:u w:val="none"/>
              </w:rPr>
            </w:pPr>
          </w:p>
        </w:tc>
        <w:tc>
          <w:tcPr>
            <w:tcW w:w="346"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20"/>
                <w:szCs w:val="20"/>
                <w:u w:val="none"/>
              </w:rPr>
            </w:pPr>
          </w:p>
        </w:tc>
        <w:tc>
          <w:tcPr>
            <w:tcW w:w="382"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20"/>
                <w:szCs w:val="20"/>
                <w:u w:val="none"/>
              </w:rPr>
            </w:pPr>
          </w:p>
        </w:tc>
      </w:tr>
      <w:tr>
        <w:tblPrEx>
          <w:tblCellMar>
            <w:top w:w="0" w:type="dxa"/>
            <w:left w:w="0" w:type="dxa"/>
            <w:bottom w:w="0" w:type="dxa"/>
            <w:right w:w="0" w:type="dxa"/>
          </w:tblCellMar>
        </w:tblPrEx>
        <w:trPr>
          <w:trHeight w:val="318" w:hRule="atLeast"/>
        </w:trPr>
        <w:tc>
          <w:tcPr>
            <w:tcW w:w="272"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20"/>
                <w:szCs w:val="20"/>
                <w:u w:val="none"/>
              </w:rPr>
            </w:pPr>
          </w:p>
        </w:tc>
        <w:tc>
          <w:tcPr>
            <w:tcW w:w="274"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20"/>
                <w:szCs w:val="20"/>
                <w:u w:val="none"/>
              </w:rPr>
            </w:pPr>
          </w:p>
        </w:tc>
        <w:tc>
          <w:tcPr>
            <w:tcW w:w="360"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20"/>
                <w:szCs w:val="20"/>
                <w:u w:val="none"/>
              </w:rPr>
            </w:pPr>
          </w:p>
        </w:tc>
        <w:tc>
          <w:tcPr>
            <w:tcW w:w="210"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20"/>
                <w:szCs w:val="20"/>
                <w:u w:val="none"/>
              </w:rPr>
            </w:pPr>
          </w:p>
        </w:tc>
        <w:tc>
          <w:tcPr>
            <w:tcW w:w="276" w:type="pct"/>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仿宋" w:hAnsi="仿宋" w:eastAsia="仿宋" w:cs="仿宋"/>
                <w:i w:val="0"/>
                <w:color w:val="auto"/>
                <w:sz w:val="20"/>
                <w:szCs w:val="20"/>
                <w:u w:val="none"/>
              </w:rPr>
            </w:pPr>
          </w:p>
        </w:tc>
        <w:tc>
          <w:tcPr>
            <w:tcW w:w="276"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20"/>
                <w:szCs w:val="20"/>
                <w:u w:val="none"/>
              </w:rPr>
            </w:pPr>
          </w:p>
        </w:tc>
        <w:tc>
          <w:tcPr>
            <w:tcW w:w="277"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20"/>
                <w:szCs w:val="20"/>
                <w:u w:val="none"/>
              </w:rPr>
            </w:pPr>
          </w:p>
        </w:tc>
        <w:tc>
          <w:tcPr>
            <w:tcW w:w="289"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20"/>
                <w:szCs w:val="20"/>
                <w:u w:val="none"/>
              </w:rPr>
            </w:pPr>
          </w:p>
        </w:tc>
        <w:tc>
          <w:tcPr>
            <w:tcW w:w="277" w:type="pct"/>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18周</w:t>
            </w:r>
          </w:p>
        </w:tc>
        <w:tc>
          <w:tcPr>
            <w:tcW w:w="277" w:type="pct"/>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18周</w:t>
            </w:r>
          </w:p>
        </w:tc>
        <w:tc>
          <w:tcPr>
            <w:tcW w:w="277" w:type="pct"/>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18周</w:t>
            </w:r>
          </w:p>
        </w:tc>
        <w:tc>
          <w:tcPr>
            <w:tcW w:w="277" w:type="pct"/>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18</w:t>
            </w:r>
          </w:p>
        </w:tc>
        <w:tc>
          <w:tcPr>
            <w:tcW w:w="277" w:type="pct"/>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18周</w:t>
            </w:r>
          </w:p>
        </w:tc>
        <w:tc>
          <w:tcPr>
            <w:tcW w:w="295" w:type="pct"/>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18周</w:t>
            </w:r>
          </w:p>
        </w:tc>
        <w:tc>
          <w:tcPr>
            <w:tcW w:w="351"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20"/>
                <w:szCs w:val="20"/>
                <w:u w:val="none"/>
              </w:rPr>
            </w:pPr>
          </w:p>
        </w:tc>
        <w:tc>
          <w:tcPr>
            <w:tcW w:w="346"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20"/>
                <w:szCs w:val="20"/>
                <w:u w:val="none"/>
              </w:rPr>
            </w:pPr>
          </w:p>
        </w:tc>
        <w:tc>
          <w:tcPr>
            <w:tcW w:w="382"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20"/>
                <w:szCs w:val="20"/>
                <w:u w:val="none"/>
              </w:rPr>
            </w:pPr>
          </w:p>
        </w:tc>
      </w:tr>
      <w:tr>
        <w:tblPrEx>
          <w:tblCellMar>
            <w:top w:w="0" w:type="dxa"/>
            <w:left w:w="0" w:type="dxa"/>
            <w:bottom w:w="0" w:type="dxa"/>
            <w:right w:w="0" w:type="dxa"/>
          </w:tblCellMar>
        </w:tblPrEx>
        <w:trPr>
          <w:trHeight w:val="288" w:hRule="atLeast"/>
        </w:trPr>
        <w:tc>
          <w:tcPr>
            <w:tcW w:w="272"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20"/>
                <w:szCs w:val="20"/>
                <w:u w:val="none"/>
              </w:rPr>
            </w:pPr>
          </w:p>
        </w:tc>
        <w:tc>
          <w:tcPr>
            <w:tcW w:w="274"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20"/>
                <w:szCs w:val="20"/>
                <w:u w:val="none"/>
              </w:rPr>
            </w:pPr>
          </w:p>
        </w:tc>
        <w:tc>
          <w:tcPr>
            <w:tcW w:w="360"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20"/>
                <w:szCs w:val="20"/>
                <w:u w:val="none"/>
              </w:rPr>
            </w:pPr>
          </w:p>
        </w:tc>
        <w:tc>
          <w:tcPr>
            <w:tcW w:w="210"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20"/>
                <w:szCs w:val="20"/>
                <w:u w:val="none"/>
              </w:rPr>
            </w:pPr>
          </w:p>
        </w:tc>
        <w:tc>
          <w:tcPr>
            <w:tcW w:w="276" w:type="pct"/>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仿宋" w:hAnsi="仿宋" w:eastAsia="仿宋" w:cs="仿宋"/>
                <w:i w:val="0"/>
                <w:color w:val="auto"/>
                <w:sz w:val="20"/>
                <w:szCs w:val="20"/>
                <w:u w:val="none"/>
              </w:rPr>
            </w:pPr>
          </w:p>
        </w:tc>
        <w:tc>
          <w:tcPr>
            <w:tcW w:w="276"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20"/>
                <w:szCs w:val="20"/>
                <w:u w:val="none"/>
              </w:rPr>
            </w:pPr>
          </w:p>
        </w:tc>
        <w:tc>
          <w:tcPr>
            <w:tcW w:w="277"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20"/>
                <w:szCs w:val="20"/>
                <w:u w:val="none"/>
              </w:rPr>
            </w:pPr>
          </w:p>
        </w:tc>
        <w:tc>
          <w:tcPr>
            <w:tcW w:w="289"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20"/>
                <w:szCs w:val="20"/>
                <w:u w:val="none"/>
              </w:rPr>
            </w:pPr>
          </w:p>
        </w:tc>
        <w:tc>
          <w:tcPr>
            <w:tcW w:w="277"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20"/>
                <w:szCs w:val="20"/>
                <w:u w:val="none"/>
              </w:rPr>
            </w:pPr>
          </w:p>
        </w:tc>
        <w:tc>
          <w:tcPr>
            <w:tcW w:w="277"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20"/>
                <w:szCs w:val="20"/>
                <w:u w:val="none"/>
              </w:rPr>
            </w:pPr>
          </w:p>
        </w:tc>
        <w:tc>
          <w:tcPr>
            <w:tcW w:w="277"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20"/>
                <w:szCs w:val="20"/>
                <w:u w:val="none"/>
              </w:rPr>
            </w:pPr>
          </w:p>
        </w:tc>
        <w:tc>
          <w:tcPr>
            <w:tcW w:w="277"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20"/>
                <w:szCs w:val="20"/>
                <w:u w:val="none"/>
              </w:rPr>
            </w:pPr>
          </w:p>
        </w:tc>
        <w:tc>
          <w:tcPr>
            <w:tcW w:w="277"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20"/>
                <w:szCs w:val="20"/>
                <w:u w:val="none"/>
              </w:rPr>
            </w:pPr>
          </w:p>
        </w:tc>
        <w:tc>
          <w:tcPr>
            <w:tcW w:w="295"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20"/>
                <w:szCs w:val="20"/>
                <w:u w:val="none"/>
              </w:rPr>
            </w:pPr>
          </w:p>
        </w:tc>
        <w:tc>
          <w:tcPr>
            <w:tcW w:w="351"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20"/>
                <w:szCs w:val="20"/>
                <w:u w:val="none"/>
              </w:rPr>
            </w:pPr>
          </w:p>
        </w:tc>
        <w:tc>
          <w:tcPr>
            <w:tcW w:w="346"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20"/>
                <w:szCs w:val="20"/>
                <w:u w:val="none"/>
              </w:rPr>
            </w:pPr>
          </w:p>
        </w:tc>
        <w:tc>
          <w:tcPr>
            <w:tcW w:w="382"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20"/>
                <w:szCs w:val="20"/>
                <w:u w:val="none"/>
              </w:rPr>
            </w:pPr>
          </w:p>
        </w:tc>
      </w:tr>
      <w:tr>
        <w:tblPrEx>
          <w:tblCellMar>
            <w:top w:w="0" w:type="dxa"/>
            <w:left w:w="0" w:type="dxa"/>
            <w:bottom w:w="0" w:type="dxa"/>
            <w:right w:w="0" w:type="dxa"/>
          </w:tblCellMar>
        </w:tblPrEx>
        <w:trPr>
          <w:trHeight w:val="510" w:hRule="atLeast"/>
        </w:trPr>
        <w:tc>
          <w:tcPr>
            <w:tcW w:w="272" w:type="pct"/>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公共必修课程</w:t>
            </w:r>
          </w:p>
        </w:tc>
        <w:tc>
          <w:tcPr>
            <w:tcW w:w="27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w:t>
            </w:r>
          </w:p>
        </w:tc>
        <w:tc>
          <w:tcPr>
            <w:tcW w:w="36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中国特色社会主义</w:t>
            </w:r>
          </w:p>
        </w:tc>
        <w:tc>
          <w:tcPr>
            <w:tcW w:w="21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36</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30</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6</w:t>
            </w:r>
          </w:p>
        </w:tc>
        <w:tc>
          <w:tcPr>
            <w:tcW w:w="289"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95"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5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w:t>
            </w:r>
          </w:p>
        </w:tc>
        <w:tc>
          <w:tcPr>
            <w:tcW w:w="34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3</w:t>
            </w:r>
          </w:p>
        </w:tc>
        <w:tc>
          <w:tcPr>
            <w:tcW w:w="382"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735" w:hRule="atLeast"/>
        </w:trPr>
        <w:tc>
          <w:tcPr>
            <w:tcW w:w="272"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w:t>
            </w:r>
          </w:p>
        </w:tc>
        <w:tc>
          <w:tcPr>
            <w:tcW w:w="36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心理健康与职业生涯</w:t>
            </w:r>
          </w:p>
        </w:tc>
        <w:tc>
          <w:tcPr>
            <w:tcW w:w="21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36</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30</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6</w:t>
            </w:r>
          </w:p>
        </w:tc>
        <w:tc>
          <w:tcPr>
            <w:tcW w:w="289"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95"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5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w:t>
            </w:r>
          </w:p>
        </w:tc>
        <w:tc>
          <w:tcPr>
            <w:tcW w:w="34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3</w:t>
            </w:r>
          </w:p>
        </w:tc>
        <w:tc>
          <w:tcPr>
            <w:tcW w:w="382"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495" w:hRule="atLeast"/>
        </w:trPr>
        <w:tc>
          <w:tcPr>
            <w:tcW w:w="272"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3</w:t>
            </w:r>
          </w:p>
        </w:tc>
        <w:tc>
          <w:tcPr>
            <w:tcW w:w="36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哲学与人生</w:t>
            </w:r>
          </w:p>
        </w:tc>
        <w:tc>
          <w:tcPr>
            <w:tcW w:w="21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36</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30</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6</w:t>
            </w:r>
          </w:p>
        </w:tc>
        <w:tc>
          <w:tcPr>
            <w:tcW w:w="289"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95"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5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3</w:t>
            </w:r>
          </w:p>
        </w:tc>
        <w:tc>
          <w:tcPr>
            <w:tcW w:w="34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4</w:t>
            </w:r>
          </w:p>
        </w:tc>
        <w:tc>
          <w:tcPr>
            <w:tcW w:w="382"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495" w:hRule="atLeast"/>
        </w:trPr>
        <w:tc>
          <w:tcPr>
            <w:tcW w:w="272"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4</w:t>
            </w:r>
          </w:p>
        </w:tc>
        <w:tc>
          <w:tcPr>
            <w:tcW w:w="36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职业道德与法治</w:t>
            </w:r>
          </w:p>
        </w:tc>
        <w:tc>
          <w:tcPr>
            <w:tcW w:w="21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36</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30</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6</w:t>
            </w:r>
          </w:p>
        </w:tc>
        <w:tc>
          <w:tcPr>
            <w:tcW w:w="289"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95"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5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4</w:t>
            </w:r>
          </w:p>
        </w:tc>
        <w:tc>
          <w:tcPr>
            <w:tcW w:w="34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4</w:t>
            </w:r>
          </w:p>
        </w:tc>
        <w:tc>
          <w:tcPr>
            <w:tcW w:w="382"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88" w:hRule="atLeast"/>
        </w:trPr>
        <w:tc>
          <w:tcPr>
            <w:tcW w:w="272"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5</w:t>
            </w:r>
          </w:p>
        </w:tc>
        <w:tc>
          <w:tcPr>
            <w:tcW w:w="36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语文</w:t>
            </w:r>
          </w:p>
        </w:tc>
        <w:tc>
          <w:tcPr>
            <w:tcW w:w="21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198</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120</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78</w:t>
            </w:r>
          </w:p>
        </w:tc>
        <w:tc>
          <w:tcPr>
            <w:tcW w:w="289"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4</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3</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95"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5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1-4</w:t>
            </w:r>
          </w:p>
        </w:tc>
        <w:tc>
          <w:tcPr>
            <w:tcW w:w="34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4</w:t>
            </w:r>
          </w:p>
        </w:tc>
        <w:tc>
          <w:tcPr>
            <w:tcW w:w="382"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88" w:hRule="atLeast"/>
        </w:trPr>
        <w:tc>
          <w:tcPr>
            <w:tcW w:w="272"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6</w:t>
            </w:r>
          </w:p>
        </w:tc>
        <w:tc>
          <w:tcPr>
            <w:tcW w:w="36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数学</w:t>
            </w:r>
          </w:p>
        </w:tc>
        <w:tc>
          <w:tcPr>
            <w:tcW w:w="21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144</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120</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24</w:t>
            </w:r>
          </w:p>
        </w:tc>
        <w:tc>
          <w:tcPr>
            <w:tcW w:w="289"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95"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5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1-4</w:t>
            </w:r>
          </w:p>
        </w:tc>
        <w:tc>
          <w:tcPr>
            <w:tcW w:w="34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4</w:t>
            </w:r>
          </w:p>
        </w:tc>
        <w:tc>
          <w:tcPr>
            <w:tcW w:w="382"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88" w:hRule="atLeast"/>
        </w:trPr>
        <w:tc>
          <w:tcPr>
            <w:tcW w:w="272"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7</w:t>
            </w:r>
          </w:p>
        </w:tc>
        <w:tc>
          <w:tcPr>
            <w:tcW w:w="36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英语</w:t>
            </w:r>
          </w:p>
        </w:tc>
        <w:tc>
          <w:tcPr>
            <w:tcW w:w="21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144</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120</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24</w:t>
            </w:r>
          </w:p>
        </w:tc>
        <w:tc>
          <w:tcPr>
            <w:tcW w:w="289"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95"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5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1-4</w:t>
            </w:r>
          </w:p>
        </w:tc>
        <w:tc>
          <w:tcPr>
            <w:tcW w:w="34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4</w:t>
            </w:r>
          </w:p>
        </w:tc>
        <w:tc>
          <w:tcPr>
            <w:tcW w:w="382"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88" w:hRule="atLeast"/>
        </w:trPr>
        <w:tc>
          <w:tcPr>
            <w:tcW w:w="272"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8</w:t>
            </w:r>
          </w:p>
        </w:tc>
        <w:tc>
          <w:tcPr>
            <w:tcW w:w="36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历史</w:t>
            </w:r>
          </w:p>
        </w:tc>
        <w:tc>
          <w:tcPr>
            <w:tcW w:w="21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72</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64</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8</w:t>
            </w:r>
          </w:p>
        </w:tc>
        <w:tc>
          <w:tcPr>
            <w:tcW w:w="289"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95"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5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1-4</w:t>
            </w:r>
          </w:p>
        </w:tc>
        <w:tc>
          <w:tcPr>
            <w:tcW w:w="34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4</w:t>
            </w:r>
          </w:p>
        </w:tc>
        <w:tc>
          <w:tcPr>
            <w:tcW w:w="382"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495" w:hRule="atLeast"/>
        </w:trPr>
        <w:tc>
          <w:tcPr>
            <w:tcW w:w="272"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9</w:t>
            </w:r>
          </w:p>
        </w:tc>
        <w:tc>
          <w:tcPr>
            <w:tcW w:w="36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体育与健康</w:t>
            </w:r>
          </w:p>
        </w:tc>
        <w:tc>
          <w:tcPr>
            <w:tcW w:w="21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144</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120</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24</w:t>
            </w:r>
          </w:p>
        </w:tc>
        <w:tc>
          <w:tcPr>
            <w:tcW w:w="289"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95"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5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1-4</w:t>
            </w:r>
          </w:p>
        </w:tc>
        <w:tc>
          <w:tcPr>
            <w:tcW w:w="34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4</w:t>
            </w:r>
          </w:p>
        </w:tc>
        <w:tc>
          <w:tcPr>
            <w:tcW w:w="382"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88" w:hRule="atLeast"/>
        </w:trPr>
        <w:tc>
          <w:tcPr>
            <w:tcW w:w="272"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10</w:t>
            </w:r>
          </w:p>
        </w:tc>
        <w:tc>
          <w:tcPr>
            <w:tcW w:w="36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公共艺术</w:t>
            </w:r>
          </w:p>
        </w:tc>
        <w:tc>
          <w:tcPr>
            <w:tcW w:w="21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36</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30</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6</w:t>
            </w:r>
          </w:p>
        </w:tc>
        <w:tc>
          <w:tcPr>
            <w:tcW w:w="289"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95"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5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1-2</w:t>
            </w:r>
          </w:p>
        </w:tc>
        <w:tc>
          <w:tcPr>
            <w:tcW w:w="34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4</w:t>
            </w:r>
          </w:p>
        </w:tc>
        <w:tc>
          <w:tcPr>
            <w:tcW w:w="382"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88" w:hRule="atLeast"/>
        </w:trPr>
        <w:tc>
          <w:tcPr>
            <w:tcW w:w="272"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11</w:t>
            </w:r>
          </w:p>
        </w:tc>
        <w:tc>
          <w:tcPr>
            <w:tcW w:w="36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物理</w:t>
            </w:r>
          </w:p>
        </w:tc>
        <w:tc>
          <w:tcPr>
            <w:tcW w:w="21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54</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42</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12</w:t>
            </w:r>
          </w:p>
        </w:tc>
        <w:tc>
          <w:tcPr>
            <w:tcW w:w="289"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95"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5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1-2</w:t>
            </w:r>
          </w:p>
        </w:tc>
        <w:tc>
          <w:tcPr>
            <w:tcW w:w="34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82"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88" w:hRule="atLeast"/>
        </w:trPr>
        <w:tc>
          <w:tcPr>
            <w:tcW w:w="272"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12</w:t>
            </w:r>
          </w:p>
        </w:tc>
        <w:tc>
          <w:tcPr>
            <w:tcW w:w="36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信息技术</w:t>
            </w:r>
          </w:p>
        </w:tc>
        <w:tc>
          <w:tcPr>
            <w:tcW w:w="21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108</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88</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20</w:t>
            </w:r>
          </w:p>
        </w:tc>
        <w:tc>
          <w:tcPr>
            <w:tcW w:w="289"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95"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5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1-3</w:t>
            </w:r>
          </w:p>
        </w:tc>
        <w:tc>
          <w:tcPr>
            <w:tcW w:w="34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82"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318" w:hRule="atLeast"/>
        </w:trPr>
        <w:tc>
          <w:tcPr>
            <w:tcW w:w="272"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635" w:type="pct"/>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公共必修课程小计</w:t>
            </w:r>
          </w:p>
        </w:tc>
        <w:tc>
          <w:tcPr>
            <w:tcW w:w="21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1044</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824</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220</w:t>
            </w:r>
          </w:p>
        </w:tc>
        <w:tc>
          <w:tcPr>
            <w:tcW w:w="289"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18</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16</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13</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11</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95"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5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4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82"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510" w:hRule="atLeast"/>
        </w:trPr>
        <w:tc>
          <w:tcPr>
            <w:tcW w:w="272" w:type="pct"/>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专业核心课程</w:t>
            </w:r>
          </w:p>
        </w:tc>
        <w:tc>
          <w:tcPr>
            <w:tcW w:w="27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w:t>
            </w:r>
          </w:p>
        </w:tc>
        <w:tc>
          <w:tcPr>
            <w:tcW w:w="36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汽车机械基础</w:t>
            </w:r>
          </w:p>
        </w:tc>
        <w:tc>
          <w:tcPr>
            <w:tcW w:w="21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18</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18</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89"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95"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5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w:t>
            </w:r>
          </w:p>
        </w:tc>
        <w:tc>
          <w:tcPr>
            <w:tcW w:w="34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82"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495" w:hRule="atLeast"/>
        </w:trPr>
        <w:tc>
          <w:tcPr>
            <w:tcW w:w="272"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w:t>
            </w:r>
          </w:p>
        </w:tc>
        <w:tc>
          <w:tcPr>
            <w:tcW w:w="36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汽车机械识图</w:t>
            </w:r>
          </w:p>
        </w:tc>
        <w:tc>
          <w:tcPr>
            <w:tcW w:w="21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72</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72</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89"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95"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5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1-3</w:t>
            </w:r>
          </w:p>
        </w:tc>
        <w:tc>
          <w:tcPr>
            <w:tcW w:w="34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82"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88" w:hRule="atLeast"/>
        </w:trPr>
        <w:tc>
          <w:tcPr>
            <w:tcW w:w="272"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3</w:t>
            </w:r>
          </w:p>
        </w:tc>
        <w:tc>
          <w:tcPr>
            <w:tcW w:w="36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电工基础</w:t>
            </w:r>
          </w:p>
        </w:tc>
        <w:tc>
          <w:tcPr>
            <w:tcW w:w="21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18</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18</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89"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95"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5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w:t>
            </w:r>
          </w:p>
        </w:tc>
        <w:tc>
          <w:tcPr>
            <w:tcW w:w="34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82"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720" w:hRule="atLeast"/>
        </w:trPr>
        <w:tc>
          <w:tcPr>
            <w:tcW w:w="272"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4</w:t>
            </w:r>
          </w:p>
        </w:tc>
        <w:tc>
          <w:tcPr>
            <w:tcW w:w="36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新能源汽车认识</w:t>
            </w:r>
          </w:p>
        </w:tc>
        <w:tc>
          <w:tcPr>
            <w:tcW w:w="21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18</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18</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89"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95"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5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w:t>
            </w:r>
          </w:p>
        </w:tc>
        <w:tc>
          <w:tcPr>
            <w:tcW w:w="34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82"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480" w:hRule="atLeast"/>
        </w:trPr>
        <w:tc>
          <w:tcPr>
            <w:tcW w:w="272"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5</w:t>
            </w:r>
          </w:p>
        </w:tc>
        <w:tc>
          <w:tcPr>
            <w:tcW w:w="36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新能源汽车电气构造与检修</w:t>
            </w:r>
          </w:p>
        </w:tc>
        <w:tc>
          <w:tcPr>
            <w:tcW w:w="21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18</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18</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89"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95"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5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w:t>
            </w:r>
          </w:p>
        </w:tc>
        <w:tc>
          <w:tcPr>
            <w:tcW w:w="34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82"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480" w:hRule="atLeast"/>
        </w:trPr>
        <w:tc>
          <w:tcPr>
            <w:tcW w:w="272"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6</w:t>
            </w:r>
          </w:p>
        </w:tc>
        <w:tc>
          <w:tcPr>
            <w:tcW w:w="36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新能源汽车结构与拆装</w:t>
            </w:r>
          </w:p>
        </w:tc>
        <w:tc>
          <w:tcPr>
            <w:tcW w:w="21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54</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54</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89"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95"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5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1-3</w:t>
            </w:r>
          </w:p>
        </w:tc>
        <w:tc>
          <w:tcPr>
            <w:tcW w:w="34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5</w:t>
            </w:r>
          </w:p>
        </w:tc>
        <w:tc>
          <w:tcPr>
            <w:tcW w:w="382"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88" w:hRule="atLeast"/>
        </w:trPr>
        <w:tc>
          <w:tcPr>
            <w:tcW w:w="272"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7</w:t>
            </w:r>
          </w:p>
        </w:tc>
        <w:tc>
          <w:tcPr>
            <w:tcW w:w="36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电动汽车动力电池拆装与维护</w:t>
            </w:r>
          </w:p>
        </w:tc>
        <w:tc>
          <w:tcPr>
            <w:tcW w:w="21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18</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18</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89"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95"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5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w:t>
            </w:r>
          </w:p>
        </w:tc>
        <w:tc>
          <w:tcPr>
            <w:tcW w:w="34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82"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318" w:hRule="atLeast"/>
        </w:trPr>
        <w:tc>
          <w:tcPr>
            <w:tcW w:w="272"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635" w:type="pct"/>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专业核心课程小计</w:t>
            </w:r>
          </w:p>
        </w:tc>
        <w:tc>
          <w:tcPr>
            <w:tcW w:w="21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216</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216</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w:t>
            </w:r>
          </w:p>
        </w:tc>
        <w:tc>
          <w:tcPr>
            <w:tcW w:w="289"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7</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4</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w:t>
            </w:r>
          </w:p>
        </w:tc>
        <w:tc>
          <w:tcPr>
            <w:tcW w:w="295"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5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4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82"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480" w:hRule="atLeast"/>
        </w:trPr>
        <w:tc>
          <w:tcPr>
            <w:tcW w:w="272" w:type="pct"/>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专业课程</w:t>
            </w:r>
          </w:p>
        </w:tc>
        <w:tc>
          <w:tcPr>
            <w:tcW w:w="27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w:t>
            </w:r>
          </w:p>
        </w:tc>
        <w:tc>
          <w:tcPr>
            <w:tcW w:w="36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电动汽车驱动系统装配与维护</w:t>
            </w:r>
          </w:p>
        </w:tc>
        <w:tc>
          <w:tcPr>
            <w:tcW w:w="21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72</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72</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89"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w:t>
            </w:r>
          </w:p>
        </w:tc>
        <w:tc>
          <w:tcPr>
            <w:tcW w:w="295"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5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2-4</w:t>
            </w:r>
          </w:p>
        </w:tc>
        <w:tc>
          <w:tcPr>
            <w:tcW w:w="34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4</w:t>
            </w:r>
          </w:p>
        </w:tc>
        <w:tc>
          <w:tcPr>
            <w:tcW w:w="382"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480" w:hRule="atLeast"/>
        </w:trPr>
        <w:tc>
          <w:tcPr>
            <w:tcW w:w="272"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w:t>
            </w:r>
          </w:p>
        </w:tc>
        <w:tc>
          <w:tcPr>
            <w:tcW w:w="36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电动汽车充电系统装配与维护</w:t>
            </w:r>
          </w:p>
        </w:tc>
        <w:tc>
          <w:tcPr>
            <w:tcW w:w="21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54</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54</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89"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w:t>
            </w:r>
          </w:p>
        </w:tc>
        <w:tc>
          <w:tcPr>
            <w:tcW w:w="295"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5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3-4</w:t>
            </w:r>
          </w:p>
        </w:tc>
        <w:tc>
          <w:tcPr>
            <w:tcW w:w="34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82"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480" w:hRule="atLeast"/>
        </w:trPr>
        <w:tc>
          <w:tcPr>
            <w:tcW w:w="272"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3</w:t>
            </w:r>
          </w:p>
        </w:tc>
        <w:tc>
          <w:tcPr>
            <w:tcW w:w="36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北汽新能源汽车方向模块化课程</w:t>
            </w:r>
          </w:p>
        </w:tc>
        <w:tc>
          <w:tcPr>
            <w:tcW w:w="21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108</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108</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89"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3</w:t>
            </w:r>
          </w:p>
        </w:tc>
        <w:tc>
          <w:tcPr>
            <w:tcW w:w="295"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5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3-4</w:t>
            </w:r>
          </w:p>
        </w:tc>
        <w:tc>
          <w:tcPr>
            <w:tcW w:w="34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82"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318" w:hRule="atLeast"/>
        </w:trPr>
        <w:tc>
          <w:tcPr>
            <w:tcW w:w="272"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635" w:type="pct"/>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专业课程小计</w:t>
            </w:r>
          </w:p>
        </w:tc>
        <w:tc>
          <w:tcPr>
            <w:tcW w:w="21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234</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234</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w:t>
            </w:r>
          </w:p>
        </w:tc>
        <w:tc>
          <w:tcPr>
            <w:tcW w:w="289"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3</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4</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5</w:t>
            </w:r>
          </w:p>
        </w:tc>
        <w:tc>
          <w:tcPr>
            <w:tcW w:w="295"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5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4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82"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318" w:hRule="atLeast"/>
        </w:trPr>
        <w:tc>
          <w:tcPr>
            <w:tcW w:w="272" w:type="pct"/>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选修课程</w:t>
            </w:r>
          </w:p>
        </w:tc>
        <w:tc>
          <w:tcPr>
            <w:tcW w:w="27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w:t>
            </w:r>
          </w:p>
        </w:tc>
        <w:tc>
          <w:tcPr>
            <w:tcW w:w="36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社交礼仪</w:t>
            </w:r>
          </w:p>
        </w:tc>
        <w:tc>
          <w:tcPr>
            <w:tcW w:w="21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90</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80</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10</w:t>
            </w:r>
          </w:p>
        </w:tc>
        <w:tc>
          <w:tcPr>
            <w:tcW w:w="289"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w:t>
            </w:r>
          </w:p>
        </w:tc>
        <w:tc>
          <w:tcPr>
            <w:tcW w:w="295"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5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4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82"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303" w:hRule="atLeast"/>
        </w:trPr>
        <w:tc>
          <w:tcPr>
            <w:tcW w:w="272"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w:t>
            </w:r>
          </w:p>
        </w:tc>
        <w:tc>
          <w:tcPr>
            <w:tcW w:w="36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安全教育</w:t>
            </w:r>
          </w:p>
        </w:tc>
        <w:tc>
          <w:tcPr>
            <w:tcW w:w="21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108</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80</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28</w:t>
            </w:r>
          </w:p>
        </w:tc>
        <w:tc>
          <w:tcPr>
            <w:tcW w:w="289"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w:t>
            </w:r>
          </w:p>
        </w:tc>
        <w:tc>
          <w:tcPr>
            <w:tcW w:w="295"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5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4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82"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88" w:hRule="atLeast"/>
        </w:trPr>
        <w:tc>
          <w:tcPr>
            <w:tcW w:w="272"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3</w:t>
            </w:r>
          </w:p>
        </w:tc>
        <w:tc>
          <w:tcPr>
            <w:tcW w:w="36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文学欣赏</w:t>
            </w:r>
          </w:p>
        </w:tc>
        <w:tc>
          <w:tcPr>
            <w:tcW w:w="21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72</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60</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12</w:t>
            </w:r>
          </w:p>
        </w:tc>
        <w:tc>
          <w:tcPr>
            <w:tcW w:w="289"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w:t>
            </w:r>
          </w:p>
        </w:tc>
        <w:tc>
          <w:tcPr>
            <w:tcW w:w="295"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5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4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82"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318" w:hRule="atLeast"/>
        </w:trPr>
        <w:tc>
          <w:tcPr>
            <w:tcW w:w="272"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635" w:type="pct"/>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选修课程小计</w:t>
            </w:r>
          </w:p>
        </w:tc>
        <w:tc>
          <w:tcPr>
            <w:tcW w:w="21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270</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220</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0</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50</w:t>
            </w:r>
          </w:p>
        </w:tc>
        <w:tc>
          <w:tcPr>
            <w:tcW w:w="289"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4</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3</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3</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6</w:t>
            </w:r>
          </w:p>
        </w:tc>
        <w:tc>
          <w:tcPr>
            <w:tcW w:w="295"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5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4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82"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750" w:hRule="atLeast"/>
        </w:trPr>
        <w:tc>
          <w:tcPr>
            <w:tcW w:w="272" w:type="pct"/>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技能实训课程</w:t>
            </w:r>
          </w:p>
        </w:tc>
        <w:tc>
          <w:tcPr>
            <w:tcW w:w="27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w:t>
            </w:r>
          </w:p>
        </w:tc>
        <w:tc>
          <w:tcPr>
            <w:tcW w:w="36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default" w:ascii="仿宋" w:hAnsi="仿宋" w:eastAsia="仿宋" w:cs="仿宋"/>
                <w:i w:val="0"/>
                <w:color w:val="auto"/>
                <w:kern w:val="0"/>
                <w:sz w:val="18"/>
                <w:szCs w:val="18"/>
                <w:u w:val="none"/>
                <w:lang w:val="en-US" w:eastAsia="zh-CN" w:bidi="ar"/>
              </w:rPr>
              <w:t>汽车机械基础专项实训（钳工实习）</w:t>
            </w:r>
          </w:p>
        </w:tc>
        <w:tc>
          <w:tcPr>
            <w:tcW w:w="21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162</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162</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89"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3</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5</w:t>
            </w:r>
          </w:p>
        </w:tc>
        <w:tc>
          <w:tcPr>
            <w:tcW w:w="295"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5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4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1-5</w:t>
            </w:r>
          </w:p>
        </w:tc>
        <w:tc>
          <w:tcPr>
            <w:tcW w:w="382"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735" w:hRule="atLeast"/>
        </w:trPr>
        <w:tc>
          <w:tcPr>
            <w:tcW w:w="272"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w:t>
            </w:r>
          </w:p>
        </w:tc>
        <w:tc>
          <w:tcPr>
            <w:tcW w:w="36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default" w:ascii="仿宋" w:hAnsi="仿宋" w:eastAsia="仿宋" w:cs="仿宋"/>
                <w:i w:val="0"/>
                <w:color w:val="auto"/>
                <w:kern w:val="0"/>
                <w:sz w:val="18"/>
                <w:szCs w:val="18"/>
                <w:u w:val="none"/>
                <w:lang w:val="en-US" w:eastAsia="zh-CN" w:bidi="ar"/>
              </w:rPr>
              <w:t>电工基础专项实训（电工实习）</w:t>
            </w:r>
          </w:p>
        </w:tc>
        <w:tc>
          <w:tcPr>
            <w:tcW w:w="21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162</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162</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89"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3</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5</w:t>
            </w:r>
          </w:p>
        </w:tc>
        <w:tc>
          <w:tcPr>
            <w:tcW w:w="295"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5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4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2-5</w:t>
            </w:r>
          </w:p>
        </w:tc>
        <w:tc>
          <w:tcPr>
            <w:tcW w:w="382"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735" w:hRule="atLeast"/>
        </w:trPr>
        <w:tc>
          <w:tcPr>
            <w:tcW w:w="272"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3</w:t>
            </w:r>
          </w:p>
        </w:tc>
        <w:tc>
          <w:tcPr>
            <w:tcW w:w="36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default" w:ascii="仿宋" w:hAnsi="仿宋" w:eastAsia="仿宋" w:cs="仿宋"/>
                <w:i w:val="0"/>
                <w:color w:val="auto"/>
                <w:kern w:val="0"/>
                <w:sz w:val="18"/>
                <w:szCs w:val="18"/>
                <w:u w:val="none"/>
                <w:lang w:val="en-US" w:eastAsia="zh-CN" w:bidi="ar"/>
              </w:rPr>
              <w:t>新能源汽车电气构造与检修专项实训</w:t>
            </w:r>
          </w:p>
        </w:tc>
        <w:tc>
          <w:tcPr>
            <w:tcW w:w="21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162</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162</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89"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5</w:t>
            </w:r>
          </w:p>
        </w:tc>
        <w:tc>
          <w:tcPr>
            <w:tcW w:w="295"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5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4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2-5</w:t>
            </w:r>
          </w:p>
        </w:tc>
        <w:tc>
          <w:tcPr>
            <w:tcW w:w="382"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720" w:hRule="atLeast"/>
        </w:trPr>
        <w:tc>
          <w:tcPr>
            <w:tcW w:w="272"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4</w:t>
            </w:r>
          </w:p>
        </w:tc>
        <w:tc>
          <w:tcPr>
            <w:tcW w:w="36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default" w:ascii="仿宋" w:hAnsi="仿宋" w:eastAsia="仿宋" w:cs="仿宋"/>
                <w:i w:val="0"/>
                <w:color w:val="auto"/>
                <w:kern w:val="0"/>
                <w:sz w:val="18"/>
                <w:szCs w:val="18"/>
                <w:u w:val="none"/>
                <w:lang w:val="en-US" w:eastAsia="zh-CN" w:bidi="ar"/>
              </w:rPr>
              <w:t>新能源汽车机构与拆装转专项实训</w:t>
            </w:r>
          </w:p>
        </w:tc>
        <w:tc>
          <w:tcPr>
            <w:tcW w:w="21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108</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108</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89"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w:t>
            </w:r>
          </w:p>
        </w:tc>
        <w:tc>
          <w:tcPr>
            <w:tcW w:w="295"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5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4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2-5</w:t>
            </w:r>
          </w:p>
        </w:tc>
        <w:tc>
          <w:tcPr>
            <w:tcW w:w="382"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318" w:hRule="atLeast"/>
        </w:trPr>
        <w:tc>
          <w:tcPr>
            <w:tcW w:w="272"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635" w:type="pct"/>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技能实训课程小计</w:t>
            </w:r>
          </w:p>
        </w:tc>
        <w:tc>
          <w:tcPr>
            <w:tcW w:w="21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594</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594</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89"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5</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5</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10</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17</w:t>
            </w:r>
          </w:p>
        </w:tc>
        <w:tc>
          <w:tcPr>
            <w:tcW w:w="295"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5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4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82"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318" w:hRule="atLeast"/>
        </w:trPr>
        <w:tc>
          <w:tcPr>
            <w:tcW w:w="907" w:type="pct"/>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顶岗实习</w:t>
            </w:r>
          </w:p>
        </w:tc>
        <w:tc>
          <w:tcPr>
            <w:tcW w:w="21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476</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89"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95"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17周</w:t>
            </w:r>
          </w:p>
        </w:tc>
        <w:tc>
          <w:tcPr>
            <w:tcW w:w="35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4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6</w:t>
            </w:r>
          </w:p>
        </w:tc>
        <w:tc>
          <w:tcPr>
            <w:tcW w:w="382"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318" w:hRule="atLeast"/>
        </w:trPr>
        <w:tc>
          <w:tcPr>
            <w:tcW w:w="907" w:type="pct"/>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周学时数</w:t>
            </w:r>
          </w:p>
        </w:tc>
        <w:tc>
          <w:tcPr>
            <w:tcW w:w="21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89"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28</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28</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28</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28</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28</w:t>
            </w:r>
          </w:p>
        </w:tc>
        <w:tc>
          <w:tcPr>
            <w:tcW w:w="295"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28</w:t>
            </w:r>
          </w:p>
        </w:tc>
        <w:tc>
          <w:tcPr>
            <w:tcW w:w="35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4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82"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495" w:hRule="atLeast"/>
        </w:trPr>
        <w:tc>
          <w:tcPr>
            <w:tcW w:w="907" w:type="pct"/>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军训入学教育、复习考试、毕业考核</w:t>
            </w:r>
          </w:p>
        </w:tc>
        <w:tc>
          <w:tcPr>
            <w:tcW w:w="21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364</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89"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2周</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2周</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2周</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2周</w:t>
            </w: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2周</w:t>
            </w:r>
          </w:p>
        </w:tc>
        <w:tc>
          <w:tcPr>
            <w:tcW w:w="295"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3周</w:t>
            </w:r>
          </w:p>
        </w:tc>
        <w:tc>
          <w:tcPr>
            <w:tcW w:w="35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4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82"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r>
      <w:tr>
        <w:tblPrEx>
          <w:tblCellMar>
            <w:top w:w="0" w:type="dxa"/>
            <w:left w:w="0" w:type="dxa"/>
            <w:bottom w:w="0" w:type="dxa"/>
            <w:right w:w="0" w:type="dxa"/>
          </w:tblCellMar>
        </w:tblPrEx>
        <w:trPr>
          <w:trHeight w:val="318" w:hRule="atLeast"/>
        </w:trPr>
        <w:tc>
          <w:tcPr>
            <w:tcW w:w="907" w:type="pct"/>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总学时数</w:t>
            </w:r>
          </w:p>
        </w:tc>
        <w:tc>
          <w:tcPr>
            <w:tcW w:w="21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3198</w:t>
            </w: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89"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295"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5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auto"/>
                <w:sz w:val="18"/>
                <w:szCs w:val="18"/>
                <w:u w:val="none"/>
              </w:rPr>
            </w:pPr>
          </w:p>
        </w:tc>
        <w:tc>
          <w:tcPr>
            <w:tcW w:w="34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eastAsia="宋体" w:cs="宋体"/>
                <w:i w:val="0"/>
                <w:color w:val="auto"/>
                <w:sz w:val="21"/>
                <w:szCs w:val="21"/>
                <w:u w:val="none"/>
              </w:rPr>
            </w:pPr>
          </w:p>
        </w:tc>
        <w:tc>
          <w:tcPr>
            <w:tcW w:w="382"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eastAsia="宋体" w:cs="宋体"/>
                <w:i w:val="0"/>
                <w:color w:val="auto"/>
                <w:sz w:val="21"/>
                <w:szCs w:val="21"/>
                <w:u w:val="none"/>
              </w:rPr>
            </w:pPr>
          </w:p>
        </w:tc>
      </w:tr>
    </w:tbl>
    <w:p>
      <w:pPr>
        <w:pStyle w:val="2"/>
      </w:pPr>
    </w:p>
    <w:p>
      <w:pPr>
        <w:rPr>
          <w:rFonts w:ascii="宋体" w:hAnsi="宋体" w:cs="宋体"/>
          <w:b/>
          <w:sz w:val="30"/>
          <w:szCs w:val="30"/>
        </w:rPr>
      </w:pPr>
      <w:bookmarkStart w:id="0" w:name="_Hlk59043218"/>
      <w:bookmarkStart w:id="1" w:name="_Hlk58662011"/>
      <w:r>
        <w:rPr>
          <w:rFonts w:hint="eastAsia" w:ascii="宋体" w:hAnsi="宋体" w:cs="宋体"/>
          <w:b/>
          <w:sz w:val="30"/>
          <w:szCs w:val="30"/>
        </w:rPr>
        <w:t>十一、教学实施</w:t>
      </w:r>
    </w:p>
    <w:bookmarkEnd w:id="0"/>
    <w:p>
      <w:pPr>
        <w:ind w:firstLine="600" w:firstLineChars="200"/>
        <w:rPr>
          <w:rFonts w:ascii="仿宋" w:hAnsi="仿宋" w:eastAsia="仿宋" w:cs="仿宋"/>
          <w:sz w:val="30"/>
          <w:szCs w:val="30"/>
        </w:rPr>
      </w:pPr>
      <w:r>
        <w:rPr>
          <w:rFonts w:hint="eastAsia" w:ascii="仿宋" w:hAnsi="仿宋" w:eastAsia="仿宋" w:cs="仿宋"/>
          <w:sz w:val="30"/>
          <w:szCs w:val="30"/>
        </w:rPr>
        <w:t>（一）教学要求</w:t>
      </w:r>
    </w:p>
    <w:p>
      <w:pPr>
        <w:ind w:firstLine="600" w:firstLineChars="200"/>
        <w:rPr>
          <w:rFonts w:ascii="仿宋" w:hAnsi="仿宋" w:eastAsia="仿宋" w:cs="仿宋"/>
          <w:sz w:val="30"/>
          <w:szCs w:val="30"/>
        </w:rPr>
      </w:pPr>
      <w:r>
        <w:rPr>
          <w:rFonts w:hint="eastAsia" w:ascii="仿宋" w:hAnsi="仿宋" w:eastAsia="仿宋" w:cs="仿宋"/>
          <w:sz w:val="30"/>
          <w:szCs w:val="30"/>
        </w:rPr>
        <w:t>1.公共基础课</w:t>
      </w:r>
    </w:p>
    <w:p>
      <w:pPr>
        <w:ind w:firstLine="600" w:firstLineChars="200"/>
        <w:rPr>
          <w:rFonts w:ascii="仿宋" w:hAnsi="仿宋" w:eastAsia="仿宋" w:cs="仿宋"/>
          <w:sz w:val="30"/>
          <w:szCs w:val="30"/>
        </w:rPr>
      </w:pPr>
      <w:r>
        <w:rPr>
          <w:rFonts w:hint="eastAsia" w:ascii="仿宋" w:hAnsi="仿宋" w:eastAsia="仿宋" w:cs="仿宋"/>
          <w:sz w:val="30"/>
          <w:szCs w:val="30"/>
        </w:rPr>
        <w:t>公共基础课的教学要符合教育部有关教育教学的基本要求，按照培养学生基本科学文化素养、服务学生专业学习和终身发展功能来定位，重在教学方法、教学组织形式的改革，教学手段、教学模式的创新、调动学生学习的积极性，为学生综合素质的提高、职业能力的形成和可持续发展奠定基础。</w:t>
      </w:r>
    </w:p>
    <w:p>
      <w:pPr>
        <w:ind w:firstLine="600" w:firstLineChars="200"/>
        <w:rPr>
          <w:rFonts w:ascii="仿宋" w:hAnsi="仿宋" w:eastAsia="仿宋" w:cs="仿宋"/>
          <w:sz w:val="30"/>
          <w:szCs w:val="30"/>
        </w:rPr>
      </w:pPr>
      <w:r>
        <w:rPr>
          <w:rFonts w:hint="eastAsia" w:ascii="仿宋" w:hAnsi="仿宋" w:eastAsia="仿宋" w:cs="仿宋"/>
          <w:sz w:val="30"/>
          <w:szCs w:val="30"/>
        </w:rPr>
        <w:t>2.专业技能课</w:t>
      </w:r>
    </w:p>
    <w:p>
      <w:pPr>
        <w:ind w:firstLine="600" w:firstLineChars="200"/>
        <w:rPr>
          <w:rFonts w:ascii="仿宋" w:hAnsi="仿宋" w:eastAsia="仿宋" w:cs="仿宋"/>
          <w:sz w:val="30"/>
          <w:szCs w:val="30"/>
        </w:rPr>
      </w:pPr>
      <w:r>
        <w:rPr>
          <w:rFonts w:hint="eastAsia" w:ascii="仿宋" w:hAnsi="仿宋" w:eastAsia="仿宋" w:cs="仿宋"/>
          <w:sz w:val="30"/>
          <w:szCs w:val="30"/>
        </w:rPr>
        <w:t>专业技能课的教学要以职业能力的培养为目标，充分利用校内实训实习室、校外实训实习基地、企业顶岗实习、职业资格认证等，强化职业技能，形成“课程与工作任务结合、课堂与技能结合、教学与情境结合、实训与岗位结合”的教学模式，采用项目导向、任务驱动、现场教学、案例教学、探究式教学、角色扮演、情境教学等方法，创新课堂教学，突出“做中学、做中教”的职业教育特色。</w:t>
      </w:r>
    </w:p>
    <w:p>
      <w:pPr>
        <w:ind w:firstLine="600" w:firstLineChars="200"/>
        <w:rPr>
          <w:rFonts w:ascii="仿宋" w:hAnsi="仿宋" w:eastAsia="仿宋" w:cs="仿宋"/>
          <w:sz w:val="30"/>
          <w:szCs w:val="30"/>
        </w:rPr>
      </w:pPr>
      <w:r>
        <w:rPr>
          <w:rFonts w:hint="eastAsia" w:ascii="仿宋" w:hAnsi="仿宋" w:eastAsia="仿宋" w:cs="仿宋"/>
          <w:sz w:val="30"/>
          <w:szCs w:val="30"/>
        </w:rPr>
        <w:t>（二）教学管理</w:t>
      </w:r>
    </w:p>
    <w:p>
      <w:pPr>
        <w:ind w:firstLine="600" w:firstLineChars="200"/>
        <w:rPr>
          <w:rFonts w:ascii="仿宋" w:hAnsi="仿宋" w:eastAsia="仿宋" w:cs="仿宋"/>
          <w:sz w:val="30"/>
          <w:szCs w:val="30"/>
        </w:rPr>
      </w:pPr>
      <w:r>
        <w:rPr>
          <w:rFonts w:hint="eastAsia" w:ascii="仿宋" w:hAnsi="仿宋" w:eastAsia="仿宋" w:cs="仿宋"/>
          <w:sz w:val="30"/>
          <w:szCs w:val="30"/>
        </w:rPr>
        <w:t>教学管理要更新观念，改变传统的教学管理方式。教学管理要有一定的规范性和灵活性与可实行工学交替等弹性学制。要合理调配专业教师、专业实训室和实训场地等教学资源，为课程的实施创造条件；要加强对教学过程的质量监控，改革教学评价的标准和方法，促进教师教学能力的提升，保证教学质量。</w:t>
      </w:r>
    </w:p>
    <w:p>
      <w:pPr>
        <w:rPr>
          <w:rFonts w:ascii="宋体" w:hAnsi="宋体" w:cs="宋体"/>
          <w:b/>
          <w:sz w:val="30"/>
          <w:szCs w:val="30"/>
        </w:rPr>
      </w:pPr>
      <w:r>
        <w:rPr>
          <w:rFonts w:hint="eastAsia" w:ascii="宋体" w:hAnsi="宋体" w:cs="宋体"/>
          <w:b/>
          <w:sz w:val="30"/>
          <w:szCs w:val="30"/>
        </w:rPr>
        <w:t>十二、教学评价</w:t>
      </w:r>
    </w:p>
    <w:p>
      <w:pPr>
        <w:ind w:firstLine="600" w:firstLineChars="200"/>
        <w:rPr>
          <w:rFonts w:ascii="仿宋" w:hAnsi="仿宋" w:eastAsia="仿宋" w:cs="仿宋"/>
          <w:sz w:val="30"/>
          <w:szCs w:val="30"/>
        </w:rPr>
      </w:pPr>
      <w:r>
        <w:rPr>
          <w:rFonts w:hint="eastAsia" w:ascii="仿宋" w:hAnsi="仿宋" w:eastAsia="仿宋" w:cs="仿宋"/>
          <w:sz w:val="30"/>
          <w:szCs w:val="30"/>
        </w:rPr>
        <w:t>教学评价包括课程评价和实训实习评价。</w:t>
      </w:r>
    </w:p>
    <w:p>
      <w:pPr>
        <w:ind w:firstLine="600" w:firstLineChars="200"/>
        <w:rPr>
          <w:rFonts w:ascii="仿宋" w:hAnsi="仿宋" w:eastAsia="仿宋" w:cs="仿宋"/>
          <w:sz w:val="30"/>
          <w:szCs w:val="30"/>
        </w:rPr>
      </w:pPr>
      <w:r>
        <w:rPr>
          <w:rFonts w:hint="eastAsia" w:ascii="仿宋" w:hAnsi="仿宋" w:eastAsia="仿宋" w:cs="仿宋"/>
          <w:sz w:val="30"/>
          <w:szCs w:val="30"/>
        </w:rPr>
        <w:t>课程评价采用过程性考核、结业考核和证书置换相结合的方式。公共基础课和专业技能课的过程性考核以项目或模块为单位进行,考核依据是出勤、纪律、活动准备、情感态度、笔记、技能考核、项目内容测试等。结业考核通过集中考试进行，采用笔试、调查报告、心得体会、论文写作及现场操作等考核形式。</w:t>
      </w:r>
    </w:p>
    <w:p>
      <w:pPr>
        <w:ind w:firstLine="600" w:firstLineChars="200"/>
        <w:rPr>
          <w:rFonts w:ascii="仿宋" w:hAnsi="仿宋" w:eastAsia="仿宋" w:cs="仿宋"/>
          <w:sz w:val="30"/>
          <w:szCs w:val="30"/>
        </w:rPr>
      </w:pPr>
      <w:r>
        <w:rPr>
          <w:rFonts w:hint="eastAsia" w:ascii="仿宋" w:hAnsi="仿宋" w:eastAsia="仿宋" w:cs="仿宋"/>
          <w:sz w:val="30"/>
          <w:szCs w:val="30"/>
        </w:rPr>
        <w:t>此外，还采用证书置换的方式进行课程评价。</w:t>
      </w:r>
    </w:p>
    <w:p>
      <w:pPr>
        <w:ind w:firstLine="600" w:firstLineChars="200"/>
        <w:rPr>
          <w:rFonts w:ascii="仿宋" w:hAnsi="仿宋" w:eastAsia="仿宋" w:cs="仿宋"/>
          <w:sz w:val="30"/>
          <w:szCs w:val="30"/>
        </w:rPr>
      </w:pPr>
      <w:r>
        <w:rPr>
          <w:rFonts w:hint="eastAsia" w:ascii="仿宋" w:hAnsi="仿宋" w:eastAsia="仿宋" w:cs="仿宋"/>
          <w:sz w:val="30"/>
          <w:szCs w:val="30"/>
        </w:rPr>
        <w:t>实训实习评价包括校内综合实训评价和顶岗实习评价。校内综合实训评价以技能考核成果的数量、质量及表现为主，采用自我评价、小组评价和教师评价相结合的方式。项岗实习评价采用企业指导教师与校内指导教师考核相结合的方式，从日常表现、知识与技能的掌握程度、成果质量、实习报告、过程记录资料等进行考核。</w:t>
      </w:r>
    </w:p>
    <w:p>
      <w:pPr>
        <w:rPr>
          <w:rFonts w:ascii="宋体" w:hAnsi="宋体" w:cs="宋体"/>
          <w:b/>
          <w:sz w:val="30"/>
          <w:szCs w:val="30"/>
        </w:rPr>
      </w:pPr>
      <w:r>
        <w:rPr>
          <w:rFonts w:ascii="宋体" w:hAnsi="宋体" w:cs="宋体"/>
          <w:b/>
          <w:sz w:val="30"/>
          <w:szCs w:val="30"/>
        </w:rPr>
        <w:t>十</w:t>
      </w:r>
      <w:r>
        <w:rPr>
          <w:rFonts w:hint="eastAsia" w:ascii="宋体" w:hAnsi="宋体" w:cs="宋体"/>
          <w:b/>
          <w:sz w:val="30"/>
          <w:szCs w:val="30"/>
        </w:rPr>
        <w:t>三、实习实训环境</w:t>
      </w:r>
    </w:p>
    <w:p>
      <w:pPr>
        <w:spacing w:line="360" w:lineRule="auto"/>
        <w:rPr>
          <w:rFonts w:hint="eastAsia" w:ascii="宋体" w:hAnsi="宋体" w:cs="宋体"/>
          <w:b/>
          <w:sz w:val="30"/>
          <w:szCs w:val="30"/>
        </w:rPr>
      </w:pPr>
      <w:r>
        <w:rPr>
          <w:rFonts w:hint="eastAsia" w:ascii="宋体" w:hAnsi="宋体" w:cs="宋体"/>
          <w:b/>
          <w:sz w:val="30"/>
          <w:szCs w:val="30"/>
        </w:rPr>
        <w:t>(一)校内实训室</w:t>
      </w:r>
    </w:p>
    <w:tbl>
      <w:tblPr>
        <w:tblStyle w:val="13"/>
        <w:tblW w:w="94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2287"/>
        <w:gridCol w:w="2997"/>
        <w:gridCol w:w="3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blHeader/>
          <w:jc w:val="center"/>
        </w:trPr>
        <w:tc>
          <w:tcPr>
            <w:tcW w:w="698" w:type="dxa"/>
            <w:noWrap w:val="0"/>
            <w:vAlign w:val="center"/>
          </w:tcPr>
          <w:p>
            <w:pPr>
              <w:jc w:val="center"/>
              <w:rPr>
                <w:rFonts w:hint="eastAsia" w:ascii="黑体" w:eastAsia="黑体"/>
                <w:sz w:val="24"/>
                <w:szCs w:val="21"/>
                <w:highlight w:val="none"/>
              </w:rPr>
            </w:pPr>
            <w:r>
              <w:rPr>
                <w:rFonts w:hint="eastAsia" w:ascii="黑体" w:eastAsia="黑体"/>
                <w:sz w:val="24"/>
                <w:szCs w:val="21"/>
                <w:highlight w:val="none"/>
              </w:rPr>
              <w:t>序号</w:t>
            </w:r>
          </w:p>
        </w:tc>
        <w:tc>
          <w:tcPr>
            <w:tcW w:w="2287" w:type="dxa"/>
            <w:noWrap w:val="0"/>
            <w:vAlign w:val="center"/>
          </w:tcPr>
          <w:p>
            <w:pPr>
              <w:jc w:val="center"/>
              <w:rPr>
                <w:rFonts w:hint="eastAsia" w:ascii="黑体" w:eastAsia="黑体"/>
                <w:sz w:val="24"/>
                <w:szCs w:val="21"/>
                <w:highlight w:val="none"/>
              </w:rPr>
            </w:pPr>
            <w:r>
              <w:rPr>
                <w:rFonts w:hint="eastAsia" w:ascii="黑体" w:eastAsia="黑体"/>
                <w:sz w:val="24"/>
                <w:szCs w:val="21"/>
                <w:highlight w:val="none"/>
              </w:rPr>
              <w:t>实习场所</w:t>
            </w:r>
          </w:p>
        </w:tc>
        <w:tc>
          <w:tcPr>
            <w:tcW w:w="2997" w:type="dxa"/>
            <w:noWrap w:val="0"/>
            <w:vAlign w:val="center"/>
          </w:tcPr>
          <w:p>
            <w:pPr>
              <w:jc w:val="center"/>
              <w:rPr>
                <w:rFonts w:hint="eastAsia" w:ascii="黑体" w:eastAsia="黑体"/>
                <w:sz w:val="24"/>
                <w:szCs w:val="21"/>
                <w:highlight w:val="none"/>
              </w:rPr>
            </w:pPr>
            <w:r>
              <w:rPr>
                <w:rFonts w:hint="eastAsia" w:ascii="黑体" w:eastAsia="黑体"/>
                <w:sz w:val="24"/>
                <w:szCs w:val="21"/>
                <w:highlight w:val="none"/>
              </w:rPr>
              <w:t>设备名称</w:t>
            </w:r>
          </w:p>
        </w:tc>
        <w:tc>
          <w:tcPr>
            <w:tcW w:w="3469" w:type="dxa"/>
            <w:noWrap w:val="0"/>
            <w:vAlign w:val="center"/>
          </w:tcPr>
          <w:p>
            <w:pPr>
              <w:jc w:val="center"/>
              <w:rPr>
                <w:rFonts w:hint="eastAsia" w:ascii="黑体" w:eastAsia="黑体"/>
                <w:sz w:val="24"/>
                <w:szCs w:val="21"/>
                <w:highlight w:val="none"/>
              </w:rPr>
            </w:pPr>
            <w:r>
              <w:rPr>
                <w:rFonts w:hint="eastAsia" w:ascii="黑体" w:eastAsia="黑体"/>
                <w:sz w:val="24"/>
                <w:szCs w:val="21"/>
                <w:highlight w:val="none"/>
              </w:rPr>
              <w:t>型号或规格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exact"/>
          <w:jc w:val="center"/>
        </w:trPr>
        <w:tc>
          <w:tcPr>
            <w:tcW w:w="698" w:type="dxa"/>
            <w:noWrap w:val="0"/>
            <w:vAlign w:val="center"/>
          </w:tcPr>
          <w:p>
            <w:pPr>
              <w:jc w:val="center"/>
              <w:rPr>
                <w:rFonts w:hint="eastAsia" w:eastAsia="仿宋_GB2312"/>
                <w:sz w:val="24"/>
                <w:szCs w:val="21"/>
                <w:highlight w:val="none"/>
                <w:lang w:val="en-US" w:eastAsia="zh-CN"/>
              </w:rPr>
            </w:pPr>
            <w:r>
              <w:rPr>
                <w:rFonts w:hint="eastAsia"/>
                <w:sz w:val="24"/>
                <w:szCs w:val="21"/>
                <w:highlight w:val="none"/>
                <w:lang w:val="en-US" w:eastAsia="zh-CN"/>
              </w:rPr>
              <w:t>1</w:t>
            </w:r>
          </w:p>
        </w:tc>
        <w:tc>
          <w:tcPr>
            <w:tcW w:w="2287" w:type="dxa"/>
            <w:noWrap w:val="0"/>
            <w:vAlign w:val="center"/>
          </w:tcPr>
          <w:p>
            <w:pPr>
              <w:jc w:val="center"/>
              <w:rPr>
                <w:rFonts w:hint="eastAsia" w:eastAsia="仿宋_GB2312"/>
                <w:sz w:val="24"/>
                <w:szCs w:val="21"/>
                <w:highlight w:val="none"/>
                <w:lang w:eastAsia="zh-CN"/>
              </w:rPr>
            </w:pPr>
            <w:r>
              <w:rPr>
                <w:rFonts w:hint="eastAsia"/>
                <w:sz w:val="24"/>
                <w:szCs w:val="21"/>
                <w:highlight w:val="none"/>
                <w:lang w:eastAsia="zh-CN"/>
              </w:rPr>
              <w:t>校内实训场</w:t>
            </w:r>
          </w:p>
        </w:tc>
        <w:tc>
          <w:tcPr>
            <w:tcW w:w="2997" w:type="dxa"/>
            <w:noWrap w:val="0"/>
            <w:vAlign w:val="center"/>
          </w:tcPr>
          <w:p>
            <w:pPr>
              <w:widowControl/>
              <w:overflowPunct w:val="0"/>
              <w:snapToGrid w:val="0"/>
              <w:jc w:val="center"/>
              <w:rPr>
                <w:rFonts w:hint="eastAsia" w:ascii="仿宋_GB2312" w:hAnsi="Times New Roman" w:eastAsia="仿宋_GB2312" w:cs="Calibri"/>
                <w:color w:val="000000"/>
                <w:kern w:val="2"/>
                <w:sz w:val="24"/>
                <w:szCs w:val="24"/>
                <w:highlight w:val="none"/>
                <w:lang w:val="en-US" w:eastAsia="zh-CN" w:bidi="ar-SA"/>
              </w:rPr>
            </w:pPr>
            <w:r>
              <w:rPr>
                <w:rFonts w:hint="eastAsia" w:ascii="仿宋_GB2312" w:hAnsi="Times New Roman" w:cs="Calibri"/>
                <w:color w:val="000000"/>
                <w:sz w:val="24"/>
                <w:szCs w:val="24"/>
                <w:highlight w:val="none"/>
                <w:lang w:eastAsia="zh-CN"/>
              </w:rPr>
              <w:t>整车</w:t>
            </w:r>
          </w:p>
        </w:tc>
        <w:tc>
          <w:tcPr>
            <w:tcW w:w="3469" w:type="dxa"/>
            <w:noWrap w:val="0"/>
            <w:vAlign w:val="center"/>
          </w:tcPr>
          <w:p>
            <w:pPr>
              <w:widowControl/>
              <w:overflowPunct w:val="0"/>
              <w:snapToGrid w:val="0"/>
              <w:jc w:val="center"/>
              <w:rPr>
                <w:rFonts w:hint="eastAsia" w:ascii="仿宋_GB2312" w:hAnsi="Times New Roman" w:eastAsia="仿宋_GB2312" w:cs="Calibri"/>
                <w:color w:val="000000"/>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北汽</w:t>
            </w:r>
            <w:r>
              <w:rPr>
                <w:rFonts w:hint="eastAsia" w:ascii="仿宋" w:hAnsi="仿宋" w:eastAsia="仿宋" w:cs="仿宋"/>
                <w:color w:val="auto"/>
                <w:sz w:val="24"/>
                <w:szCs w:val="24"/>
                <w:highlight w:val="none"/>
              </w:rPr>
              <w:t>新能源汽车E</w:t>
            </w:r>
            <w:r>
              <w:rPr>
                <w:rFonts w:hint="eastAsia" w:ascii="仿宋" w:hAnsi="仿宋" w:eastAsia="仿宋" w:cs="仿宋"/>
                <w:color w:val="auto"/>
                <w:sz w:val="24"/>
                <w:szCs w:val="24"/>
                <w:highlight w:val="none"/>
                <w:lang w:val="en-US" w:eastAsia="zh-CN"/>
              </w:rPr>
              <w:t>C</w:t>
            </w:r>
            <w:r>
              <w:rPr>
                <w:rFonts w:hint="eastAsia" w:ascii="仿宋" w:hAnsi="仿宋" w:eastAsia="仿宋" w:cs="仿宋"/>
                <w:color w:val="auto"/>
                <w:sz w:val="24"/>
                <w:szCs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exact"/>
          <w:jc w:val="center"/>
        </w:trPr>
        <w:tc>
          <w:tcPr>
            <w:tcW w:w="698" w:type="dxa"/>
            <w:noWrap w:val="0"/>
            <w:vAlign w:val="center"/>
          </w:tcPr>
          <w:p>
            <w:pPr>
              <w:jc w:val="center"/>
              <w:rPr>
                <w:rFonts w:hint="default" w:eastAsia="仿宋_GB2312"/>
                <w:sz w:val="24"/>
                <w:szCs w:val="21"/>
                <w:highlight w:val="none"/>
                <w:lang w:val="en-US" w:eastAsia="zh-CN"/>
              </w:rPr>
            </w:pPr>
            <w:r>
              <w:rPr>
                <w:rFonts w:hint="eastAsia"/>
                <w:sz w:val="24"/>
                <w:szCs w:val="21"/>
                <w:highlight w:val="none"/>
                <w:lang w:val="en-US" w:eastAsia="zh-CN"/>
              </w:rPr>
              <w:t>2</w:t>
            </w:r>
          </w:p>
        </w:tc>
        <w:tc>
          <w:tcPr>
            <w:tcW w:w="2287" w:type="dxa"/>
            <w:noWrap w:val="0"/>
            <w:vAlign w:val="center"/>
          </w:tcPr>
          <w:p>
            <w:pPr>
              <w:jc w:val="center"/>
              <w:rPr>
                <w:rFonts w:hint="eastAsia"/>
                <w:sz w:val="24"/>
                <w:szCs w:val="21"/>
                <w:highlight w:val="none"/>
              </w:rPr>
            </w:pPr>
            <w:r>
              <w:rPr>
                <w:rFonts w:hint="eastAsia"/>
                <w:sz w:val="24"/>
                <w:szCs w:val="21"/>
                <w:highlight w:val="none"/>
                <w:lang w:eastAsia="zh-CN"/>
              </w:rPr>
              <w:t>校内实训场</w:t>
            </w:r>
          </w:p>
        </w:tc>
        <w:tc>
          <w:tcPr>
            <w:tcW w:w="2997" w:type="dxa"/>
            <w:noWrap w:val="0"/>
            <w:vAlign w:val="center"/>
          </w:tcPr>
          <w:p>
            <w:pPr>
              <w:widowControl/>
              <w:overflowPunct w:val="0"/>
              <w:snapToGrid w:val="0"/>
              <w:jc w:val="center"/>
              <w:rPr>
                <w:rFonts w:hint="eastAsia" w:ascii="仿宋_GB2312" w:hAnsi="Times New Roman" w:eastAsia="仿宋_GB2312" w:cs="Calibri"/>
                <w:color w:val="000000"/>
                <w:kern w:val="2"/>
                <w:sz w:val="24"/>
                <w:szCs w:val="24"/>
                <w:highlight w:val="none"/>
                <w:lang w:val="en-US" w:eastAsia="zh-CN" w:bidi="ar-SA"/>
              </w:rPr>
            </w:pPr>
            <w:r>
              <w:rPr>
                <w:rFonts w:hint="eastAsia" w:ascii="仿宋_GB2312" w:hAnsi="Times New Roman" w:cs="Calibri"/>
                <w:color w:val="000000"/>
                <w:sz w:val="24"/>
                <w:szCs w:val="24"/>
                <w:highlight w:val="none"/>
                <w:lang w:eastAsia="zh-CN"/>
              </w:rPr>
              <w:t>解码仪</w:t>
            </w:r>
          </w:p>
        </w:tc>
        <w:tc>
          <w:tcPr>
            <w:tcW w:w="3469" w:type="dxa"/>
            <w:noWrap w:val="0"/>
            <w:vAlign w:val="center"/>
          </w:tcPr>
          <w:p>
            <w:pPr>
              <w:widowControl/>
              <w:overflowPunct w:val="0"/>
              <w:snapToGrid w:val="0"/>
              <w:jc w:val="center"/>
              <w:rPr>
                <w:rFonts w:hint="eastAsia" w:ascii="仿宋_GB2312" w:hAnsi="Times New Roman" w:eastAsia="仿宋_GB2312" w:cs="Calibri"/>
                <w:color w:val="000000"/>
                <w:kern w:val="2"/>
                <w:sz w:val="24"/>
                <w:szCs w:val="24"/>
                <w:highlight w:val="none"/>
                <w:lang w:val="en-US" w:eastAsia="zh-CN" w:bidi="ar-SA"/>
              </w:rPr>
            </w:pPr>
            <w:r>
              <w:rPr>
                <w:rFonts w:hint="eastAsia" w:ascii="仿宋_GB2312" w:hAnsi="Times New Roman" w:cs="Calibri"/>
                <w:color w:val="000000"/>
                <w:sz w:val="24"/>
                <w:szCs w:val="24"/>
                <w:highlight w:val="none"/>
                <w:lang w:eastAsia="zh-CN"/>
              </w:rPr>
              <w:t>博世</w:t>
            </w:r>
            <w:r>
              <w:rPr>
                <w:rFonts w:hint="eastAsia" w:ascii="仿宋_GB2312" w:hAnsi="Times New Roman" w:cs="Calibri"/>
                <w:color w:val="000000"/>
                <w:sz w:val="24"/>
                <w:szCs w:val="24"/>
                <w:highlight w:val="none"/>
                <w:lang w:val="en-US" w:eastAsia="zh-CN"/>
              </w:rPr>
              <w:t>KT710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exact"/>
          <w:jc w:val="center"/>
        </w:trPr>
        <w:tc>
          <w:tcPr>
            <w:tcW w:w="698" w:type="dxa"/>
            <w:noWrap w:val="0"/>
            <w:vAlign w:val="center"/>
          </w:tcPr>
          <w:p>
            <w:pPr>
              <w:jc w:val="center"/>
              <w:rPr>
                <w:rFonts w:hint="default" w:eastAsia="仿宋_GB2312"/>
                <w:sz w:val="24"/>
                <w:szCs w:val="21"/>
                <w:highlight w:val="none"/>
                <w:lang w:val="en-US" w:eastAsia="zh-CN"/>
              </w:rPr>
            </w:pPr>
            <w:r>
              <w:rPr>
                <w:rFonts w:hint="eastAsia"/>
                <w:sz w:val="24"/>
                <w:szCs w:val="21"/>
                <w:highlight w:val="none"/>
                <w:lang w:val="en-US" w:eastAsia="zh-CN"/>
              </w:rPr>
              <w:t>3</w:t>
            </w:r>
          </w:p>
        </w:tc>
        <w:tc>
          <w:tcPr>
            <w:tcW w:w="2287" w:type="dxa"/>
            <w:noWrap w:val="0"/>
            <w:vAlign w:val="center"/>
          </w:tcPr>
          <w:p>
            <w:pPr>
              <w:jc w:val="center"/>
              <w:rPr>
                <w:rFonts w:hint="eastAsia"/>
                <w:sz w:val="24"/>
                <w:szCs w:val="21"/>
                <w:highlight w:val="none"/>
              </w:rPr>
            </w:pPr>
            <w:r>
              <w:rPr>
                <w:rFonts w:hint="eastAsia"/>
                <w:sz w:val="24"/>
                <w:szCs w:val="21"/>
                <w:highlight w:val="none"/>
                <w:lang w:eastAsia="zh-CN"/>
              </w:rPr>
              <w:t>校内实训场</w:t>
            </w:r>
          </w:p>
        </w:tc>
        <w:tc>
          <w:tcPr>
            <w:tcW w:w="2997" w:type="dxa"/>
            <w:noWrap w:val="0"/>
            <w:vAlign w:val="center"/>
          </w:tcPr>
          <w:p>
            <w:pPr>
              <w:widowControl/>
              <w:overflowPunct w:val="0"/>
              <w:snapToGrid w:val="0"/>
              <w:jc w:val="center"/>
              <w:rPr>
                <w:rFonts w:hint="eastAsia" w:ascii="仿宋_GB2312" w:hAnsi="Times New Roman" w:eastAsia="仿宋_GB2312" w:cs="Calibri"/>
                <w:color w:val="000000"/>
                <w:kern w:val="2"/>
                <w:sz w:val="24"/>
                <w:szCs w:val="24"/>
                <w:highlight w:val="none"/>
                <w:lang w:val="en-US" w:eastAsia="zh-CN" w:bidi="ar-SA"/>
              </w:rPr>
            </w:pPr>
            <w:r>
              <w:rPr>
                <w:rFonts w:hint="eastAsia" w:ascii="仿宋_GB2312" w:hAnsi="Times New Roman" w:cs="Calibri"/>
                <w:color w:val="000000"/>
                <w:sz w:val="24"/>
                <w:szCs w:val="24"/>
                <w:highlight w:val="none"/>
                <w:lang w:eastAsia="zh-CN"/>
              </w:rPr>
              <w:t>万用表</w:t>
            </w:r>
          </w:p>
        </w:tc>
        <w:tc>
          <w:tcPr>
            <w:tcW w:w="3469" w:type="dxa"/>
            <w:noWrap w:val="0"/>
            <w:vAlign w:val="center"/>
          </w:tcPr>
          <w:p>
            <w:pPr>
              <w:widowControl/>
              <w:overflowPunct w:val="0"/>
              <w:snapToGrid w:val="0"/>
              <w:jc w:val="center"/>
              <w:rPr>
                <w:rFonts w:hint="eastAsia" w:ascii="仿宋_GB2312" w:hAnsi="Times New Roman" w:eastAsia="仿宋_GB2312" w:cs="Calibri"/>
                <w:color w:val="000000"/>
                <w:kern w:val="2"/>
                <w:sz w:val="24"/>
                <w:szCs w:val="24"/>
                <w:highlight w:val="none"/>
                <w:lang w:val="en-US" w:eastAsia="zh-CN" w:bidi="ar-SA"/>
              </w:rPr>
            </w:pPr>
            <w:r>
              <w:rPr>
                <w:rFonts w:hint="eastAsia" w:ascii="仿宋_GB2312" w:hAnsi="Times New Roman" w:cs="Calibri"/>
                <w:color w:val="000000"/>
                <w:sz w:val="24"/>
                <w:szCs w:val="24"/>
                <w:highlight w:val="none"/>
                <w:lang w:eastAsia="zh-CN"/>
              </w:rPr>
              <w:t>手持式微欧表METRAHIT H+E CAR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exact"/>
          <w:jc w:val="center"/>
        </w:trPr>
        <w:tc>
          <w:tcPr>
            <w:tcW w:w="698" w:type="dxa"/>
            <w:noWrap w:val="0"/>
            <w:vAlign w:val="center"/>
          </w:tcPr>
          <w:p>
            <w:pPr>
              <w:jc w:val="center"/>
              <w:rPr>
                <w:rFonts w:hint="default" w:eastAsia="仿宋_GB2312"/>
                <w:sz w:val="24"/>
                <w:szCs w:val="21"/>
                <w:highlight w:val="none"/>
                <w:lang w:val="en-US" w:eastAsia="zh-CN"/>
              </w:rPr>
            </w:pPr>
            <w:r>
              <w:rPr>
                <w:rFonts w:hint="eastAsia"/>
                <w:sz w:val="24"/>
                <w:szCs w:val="21"/>
                <w:highlight w:val="none"/>
                <w:lang w:val="en-US" w:eastAsia="zh-CN"/>
              </w:rPr>
              <w:t>4</w:t>
            </w:r>
          </w:p>
        </w:tc>
        <w:tc>
          <w:tcPr>
            <w:tcW w:w="2287" w:type="dxa"/>
            <w:noWrap w:val="0"/>
            <w:vAlign w:val="center"/>
          </w:tcPr>
          <w:p>
            <w:pPr>
              <w:jc w:val="center"/>
              <w:rPr>
                <w:rFonts w:hint="eastAsia"/>
                <w:sz w:val="24"/>
                <w:szCs w:val="21"/>
                <w:highlight w:val="none"/>
              </w:rPr>
            </w:pPr>
            <w:r>
              <w:rPr>
                <w:rFonts w:hint="eastAsia"/>
                <w:sz w:val="24"/>
                <w:szCs w:val="21"/>
                <w:highlight w:val="none"/>
                <w:lang w:eastAsia="zh-CN"/>
              </w:rPr>
              <w:t>校内实训场</w:t>
            </w:r>
          </w:p>
        </w:tc>
        <w:tc>
          <w:tcPr>
            <w:tcW w:w="2997" w:type="dxa"/>
            <w:noWrap w:val="0"/>
            <w:vAlign w:val="center"/>
          </w:tcPr>
          <w:p>
            <w:pPr>
              <w:widowControl/>
              <w:overflowPunct w:val="0"/>
              <w:snapToGrid w:val="0"/>
              <w:jc w:val="center"/>
              <w:rPr>
                <w:rFonts w:hint="eastAsia" w:ascii="仿宋_GB2312" w:hAnsi="Times New Roman" w:eastAsia="仿宋_GB2312" w:cs="Calibri"/>
                <w:color w:val="000000"/>
                <w:kern w:val="2"/>
                <w:sz w:val="24"/>
                <w:szCs w:val="24"/>
                <w:highlight w:val="none"/>
                <w:lang w:val="en-US" w:eastAsia="zh-CN" w:bidi="ar-SA"/>
              </w:rPr>
            </w:pPr>
            <w:r>
              <w:rPr>
                <w:rFonts w:hint="eastAsia" w:ascii="仿宋_GB2312" w:hAnsi="Times New Roman" w:cs="Calibri"/>
                <w:color w:val="000000"/>
                <w:sz w:val="24"/>
                <w:szCs w:val="24"/>
                <w:highlight w:val="none"/>
                <w:lang w:eastAsia="zh-CN"/>
              </w:rPr>
              <w:t>示波器</w:t>
            </w:r>
          </w:p>
        </w:tc>
        <w:tc>
          <w:tcPr>
            <w:tcW w:w="3469" w:type="dxa"/>
            <w:noWrap w:val="0"/>
            <w:vAlign w:val="center"/>
          </w:tcPr>
          <w:p>
            <w:pPr>
              <w:widowControl/>
              <w:overflowPunct w:val="0"/>
              <w:snapToGrid w:val="0"/>
              <w:jc w:val="center"/>
              <w:rPr>
                <w:rFonts w:hint="eastAsia" w:ascii="仿宋_GB2312" w:hAnsi="Times New Roman" w:eastAsia="仿宋_GB2312" w:cs="Calibri"/>
                <w:color w:val="000000"/>
                <w:kern w:val="2"/>
                <w:sz w:val="24"/>
                <w:szCs w:val="24"/>
                <w:highlight w:val="none"/>
                <w:lang w:val="en-US" w:eastAsia="zh-CN" w:bidi="ar-SA"/>
              </w:rPr>
            </w:pPr>
            <w:r>
              <w:rPr>
                <w:rFonts w:hint="eastAsia" w:ascii="仿宋_GB2312" w:hAnsi="Times New Roman" w:cs="Calibri"/>
                <w:color w:val="000000"/>
                <w:sz w:val="24"/>
                <w:szCs w:val="24"/>
                <w:highlight w:val="none"/>
                <w:lang w:eastAsia="zh-CN"/>
              </w:rPr>
              <w:t>泰克</w:t>
            </w:r>
            <w:r>
              <w:rPr>
                <w:rFonts w:hint="eastAsia" w:ascii="仿宋_GB2312" w:hAnsi="Times New Roman" w:cs="Calibri"/>
                <w:color w:val="000000"/>
                <w:sz w:val="24"/>
                <w:szCs w:val="24"/>
                <w:highlight w:val="none"/>
                <w:lang w:val="en-US" w:eastAsia="zh-CN"/>
              </w:rPr>
              <w:t>TBS2000B</w:t>
            </w:r>
          </w:p>
        </w:tc>
      </w:tr>
      <w:bookmarkEnd w:id="1"/>
    </w:tbl>
    <w:p>
      <w:pPr>
        <w:rPr>
          <w:rFonts w:ascii="宋体" w:hAnsi="宋体" w:cs="宋体"/>
          <w:b/>
          <w:sz w:val="30"/>
          <w:szCs w:val="30"/>
        </w:rPr>
      </w:pPr>
      <w:bookmarkStart w:id="2" w:name="_GoBack"/>
      <w:bookmarkEnd w:id="2"/>
      <w:r>
        <w:rPr>
          <w:rFonts w:hint="eastAsia" w:ascii="宋体" w:hAnsi="宋体" w:cs="宋体"/>
          <w:b/>
          <w:sz w:val="30"/>
          <w:szCs w:val="30"/>
        </w:rPr>
        <w:t>十四、师资队伍</w:t>
      </w:r>
    </w:p>
    <w:p>
      <w:pPr>
        <w:ind w:firstLine="600" w:firstLineChars="200"/>
        <w:rPr>
          <w:rFonts w:ascii="仿宋" w:hAnsi="仿宋" w:eastAsia="仿宋" w:cs="仿宋"/>
          <w:sz w:val="30"/>
          <w:szCs w:val="30"/>
        </w:rPr>
      </w:pPr>
      <w:r>
        <w:rPr>
          <w:rFonts w:hint="eastAsia" w:ascii="仿宋" w:hAnsi="仿宋" w:eastAsia="仿宋" w:cs="仿宋"/>
          <w:sz w:val="30"/>
          <w:szCs w:val="30"/>
        </w:rPr>
        <w:t>通过“校企合作”的方式，充实以行业企业专业人才和能工巧匠为代表的兼职教师队伍，鼓励专任教师到企业实践，提高专兼职教师的职业教育能力，建立一支教育理念先进、实践能力强、教学水平高、专兼职结合、双师结构优化、双师素质优良的教学团队。</w:t>
      </w:r>
    </w:p>
    <w:p>
      <w:pPr>
        <w:ind w:firstLine="600" w:firstLineChars="200"/>
        <w:rPr>
          <w:rFonts w:ascii="仿宋" w:hAnsi="仿宋" w:eastAsia="仿宋" w:cs="仿宋"/>
          <w:sz w:val="30"/>
          <w:szCs w:val="30"/>
        </w:rPr>
      </w:pPr>
      <w:r>
        <w:rPr>
          <w:rFonts w:hint="eastAsia" w:ascii="仿宋" w:hAnsi="仿宋" w:eastAsia="仿宋" w:cs="仿宋"/>
          <w:sz w:val="30"/>
          <w:szCs w:val="30"/>
        </w:rPr>
        <w:t>（一）专业带头人的基本要求</w:t>
      </w:r>
    </w:p>
    <w:p>
      <w:pPr>
        <w:ind w:firstLine="600" w:firstLineChars="200"/>
        <w:rPr>
          <w:rFonts w:ascii="仿宋" w:hAnsi="仿宋" w:eastAsia="仿宋" w:cs="仿宋"/>
          <w:sz w:val="30"/>
          <w:szCs w:val="30"/>
        </w:rPr>
      </w:pPr>
      <w:r>
        <w:rPr>
          <w:rFonts w:hint="eastAsia" w:ascii="仿宋" w:hAnsi="仿宋" w:eastAsia="仿宋" w:cs="仿宋"/>
          <w:sz w:val="30"/>
          <w:szCs w:val="30"/>
        </w:rPr>
        <w:t>具有较高的职业教育认识能力、专业发展方向把握能力、课程开发能力、教研教改能力、学术研究尤其是应用技术开发能力、组织协调能力，能带领专业建设团队构建基于工作过程的“层次化、模块化”的课程体系。</w:t>
      </w:r>
    </w:p>
    <w:p>
      <w:pPr>
        <w:rPr>
          <w:rFonts w:ascii="仿宋" w:hAnsi="仿宋" w:eastAsia="仿宋" w:cs="仿宋"/>
          <w:sz w:val="30"/>
          <w:szCs w:val="30"/>
        </w:rPr>
      </w:pPr>
      <w:r>
        <w:rPr>
          <w:rFonts w:hint="eastAsia" w:ascii="仿宋" w:hAnsi="仿宋" w:eastAsia="仿宋" w:cs="仿宋"/>
          <w:sz w:val="30"/>
          <w:szCs w:val="30"/>
        </w:rPr>
        <w:t>（二）专任教师、兼职教师的配置与要求</w:t>
      </w:r>
    </w:p>
    <w:p>
      <w:pPr>
        <w:numPr>
          <w:ilvl w:val="0"/>
          <w:numId w:val="1"/>
        </w:numPr>
        <w:ind w:firstLine="600" w:firstLineChars="200"/>
        <w:rPr>
          <w:rFonts w:ascii="仿宋" w:hAnsi="仿宋" w:eastAsia="仿宋" w:cs="仿宋"/>
          <w:sz w:val="30"/>
          <w:szCs w:val="30"/>
        </w:rPr>
      </w:pPr>
      <w:r>
        <w:rPr>
          <w:rFonts w:hint="eastAsia" w:ascii="仿宋" w:hAnsi="仿宋" w:eastAsia="仿宋" w:cs="仿宋"/>
          <w:sz w:val="30"/>
          <w:szCs w:val="30"/>
        </w:rPr>
        <w:t>本专业的专任教师应具有中等职业学校及以上学校的教师任职资格。</w:t>
      </w:r>
    </w:p>
    <w:p>
      <w:pPr>
        <w:numPr>
          <w:ilvl w:val="0"/>
          <w:numId w:val="1"/>
        </w:numPr>
        <w:ind w:firstLine="600" w:firstLineChars="200"/>
        <w:rPr>
          <w:rFonts w:ascii="仿宋" w:hAnsi="仿宋" w:eastAsia="仿宋" w:cs="仿宋"/>
          <w:sz w:val="30"/>
          <w:szCs w:val="30"/>
        </w:rPr>
      </w:pPr>
      <w:r>
        <w:rPr>
          <w:rFonts w:hint="eastAsia" w:ascii="仿宋" w:hAnsi="仿宋" w:eastAsia="仿宋" w:cs="仿宋"/>
          <w:sz w:val="30"/>
          <w:szCs w:val="30"/>
        </w:rPr>
        <w:t>本专业课程中的 30%以上授课任务应由经过测绘专业系统培训、具有中级及以上职称和一定实践经验的专任教师担任。</w:t>
      </w:r>
    </w:p>
    <w:p>
      <w:pPr>
        <w:numPr>
          <w:ilvl w:val="0"/>
          <w:numId w:val="1"/>
        </w:numPr>
        <w:ind w:firstLine="600" w:firstLineChars="200"/>
        <w:rPr>
          <w:rFonts w:ascii="仿宋" w:hAnsi="仿宋" w:eastAsia="仿宋" w:cs="仿宋"/>
          <w:sz w:val="30"/>
          <w:szCs w:val="30"/>
        </w:rPr>
      </w:pPr>
      <w:r>
        <w:rPr>
          <w:rFonts w:hint="eastAsia" w:ascii="仿宋" w:hAnsi="仿宋" w:eastAsia="仿宋" w:cs="仿宋"/>
          <w:sz w:val="30"/>
          <w:szCs w:val="30"/>
        </w:rPr>
        <w:t xml:space="preserve">根据专业教学需要，可聘请一定数量、相对稳定的兼职教师。兼职专业教师应具有本科或本科以上学历，中级技术职称，从事测绘专业实践工作 5 年以上；兼职教师占专业教师总量比例达到 25%。 </w:t>
      </w:r>
    </w:p>
    <w:p>
      <w:pPr>
        <w:rPr>
          <w:rFonts w:ascii="宋体" w:hAnsi="宋体" w:cs="宋体"/>
          <w:b/>
          <w:sz w:val="30"/>
          <w:szCs w:val="30"/>
        </w:rPr>
      </w:pPr>
      <w:r>
        <w:rPr>
          <w:rFonts w:hint="eastAsia" w:ascii="宋体" w:hAnsi="宋体" w:cs="宋体"/>
          <w:b/>
          <w:sz w:val="30"/>
          <w:szCs w:val="30"/>
        </w:rPr>
        <w:t>十五、毕业要求</w:t>
      </w:r>
    </w:p>
    <w:p>
      <w:pPr>
        <w:numPr>
          <w:ilvl w:val="0"/>
          <w:numId w:val="2"/>
        </w:numPr>
        <w:ind w:firstLine="600" w:firstLineChars="200"/>
        <w:rPr>
          <w:rFonts w:ascii="仿宋" w:hAnsi="仿宋" w:eastAsia="仿宋" w:cs="仿宋"/>
          <w:sz w:val="30"/>
          <w:szCs w:val="30"/>
        </w:rPr>
      </w:pPr>
      <w:r>
        <w:rPr>
          <w:rFonts w:hint="eastAsia" w:ascii="仿宋" w:hAnsi="仿宋" w:eastAsia="仿宋" w:cs="仿宋"/>
          <w:sz w:val="30"/>
          <w:szCs w:val="30"/>
        </w:rPr>
        <w:t>所有课程均需进行考核，考试考查课程见课程设计表；毕业实习结束学生必须写出实习总结和实习报告或论文一份且附有实习单位的鉴定材料。</w:t>
      </w:r>
    </w:p>
    <w:p>
      <w:pPr>
        <w:ind w:firstLine="600" w:firstLineChars="200"/>
        <w:rPr>
          <w:rFonts w:ascii="宋体" w:hAnsi="宋体" w:cs="宋体"/>
          <w:sz w:val="30"/>
          <w:szCs w:val="30"/>
        </w:rPr>
      </w:pPr>
      <w:r>
        <w:rPr>
          <w:rFonts w:hint="eastAsia" w:ascii="宋体" w:hAnsi="宋体" w:cs="宋体"/>
          <w:sz w:val="30"/>
          <w:szCs w:val="30"/>
        </w:rPr>
        <w:t>（二）毕业考核</w:t>
      </w:r>
    </w:p>
    <w:p>
      <w:pPr>
        <w:ind w:firstLine="600" w:firstLineChars="200"/>
        <w:rPr>
          <w:rFonts w:ascii="仿宋" w:hAnsi="仿宋" w:eastAsia="仿宋" w:cs="仿宋"/>
          <w:sz w:val="30"/>
          <w:szCs w:val="30"/>
        </w:rPr>
      </w:pPr>
      <w:r>
        <w:rPr>
          <w:rFonts w:hint="eastAsia" w:ascii="仿宋" w:hAnsi="仿宋" w:eastAsia="仿宋" w:cs="仿宋"/>
          <w:sz w:val="30"/>
          <w:szCs w:val="30"/>
        </w:rPr>
        <w:t>1.文化基础综合：按专业岗位操作技能型人才的所必需具备的文化基础知识规格要求，考查和考核相结合，实行教考分离。</w:t>
      </w:r>
    </w:p>
    <w:p>
      <w:pPr>
        <w:ind w:firstLine="600" w:firstLineChars="200"/>
        <w:rPr>
          <w:rFonts w:ascii="仿宋" w:hAnsi="仿宋" w:eastAsia="仿宋" w:cs="仿宋"/>
          <w:sz w:val="30"/>
          <w:szCs w:val="30"/>
        </w:rPr>
      </w:pPr>
      <w:r>
        <w:rPr>
          <w:rFonts w:hint="eastAsia" w:ascii="仿宋" w:hAnsi="仿宋" w:eastAsia="仿宋" w:cs="仿宋"/>
          <w:sz w:val="30"/>
          <w:szCs w:val="30"/>
        </w:rPr>
        <w:t>2.专业理论综合：按专业岗位操作技能型人才的所必需具备的专业理论综合知识的规格要求，考查与考核相结合，实行教考分离。</w:t>
      </w:r>
    </w:p>
    <w:p>
      <w:pPr>
        <w:ind w:firstLine="600" w:firstLineChars="200"/>
        <w:rPr>
          <w:rFonts w:ascii="仿宋" w:hAnsi="仿宋" w:eastAsia="仿宋" w:cs="仿宋"/>
          <w:sz w:val="30"/>
          <w:szCs w:val="30"/>
        </w:rPr>
      </w:pPr>
      <w:r>
        <w:rPr>
          <w:rFonts w:hint="eastAsia" w:ascii="仿宋" w:hAnsi="仿宋" w:eastAsia="仿宋" w:cs="仿宋"/>
          <w:sz w:val="30"/>
          <w:szCs w:val="30"/>
        </w:rPr>
        <w:t>3.专业主要技能：在实习现场或校内实训场地，参照国家相关职业资格或技术等级标准要求，进行考核，达到学校相关等级要求。</w:t>
      </w:r>
    </w:p>
    <w:p>
      <w:pPr>
        <w:ind w:firstLine="600" w:firstLineChars="200"/>
        <w:rPr>
          <w:rFonts w:ascii="仿宋" w:hAnsi="仿宋" w:eastAsia="仿宋" w:cs="仿宋"/>
          <w:sz w:val="30"/>
          <w:szCs w:val="30"/>
        </w:rPr>
      </w:pPr>
      <w:r>
        <w:rPr>
          <w:rFonts w:hint="eastAsia" w:ascii="仿宋" w:hAnsi="仿宋" w:eastAsia="仿宋" w:cs="仿宋"/>
          <w:sz w:val="30"/>
          <w:szCs w:val="30"/>
        </w:rPr>
        <w:t>4.学生毕业必须取得学生毕业证。</w:t>
      </w:r>
    </w:p>
    <w:p>
      <w:pPr>
        <w:spacing w:line="360" w:lineRule="auto"/>
        <w:jc w:val="center"/>
        <w:rPr>
          <w:rFonts w:ascii="仿宋" w:hAnsi="仿宋" w:eastAsia="仿宋" w:cs="仿宋"/>
          <w:sz w:val="30"/>
          <w:szCs w:val="30"/>
        </w:rPr>
      </w:pPr>
    </w:p>
    <w:p>
      <w:pPr>
        <w:spacing w:line="360" w:lineRule="auto"/>
        <w:jc w:val="center"/>
        <w:rPr>
          <w:rFonts w:ascii="仿宋" w:hAnsi="仿宋" w:eastAsia="仿宋" w:cs="仿宋"/>
          <w:sz w:val="30"/>
          <w:szCs w:val="30"/>
        </w:rPr>
      </w:pPr>
    </w:p>
    <w:p>
      <w:pPr>
        <w:spacing w:line="360" w:lineRule="auto"/>
        <w:jc w:val="center"/>
        <w:rPr>
          <w:rFonts w:ascii="仿宋" w:hAnsi="仿宋" w:eastAsia="仿宋" w:cs="仿宋"/>
          <w:sz w:val="30"/>
          <w:szCs w:val="30"/>
        </w:rPr>
      </w:pPr>
    </w:p>
    <w:p>
      <w:pPr>
        <w:spacing w:line="360" w:lineRule="auto"/>
        <w:jc w:val="center"/>
        <w:rPr>
          <w:rFonts w:ascii="仿宋" w:hAnsi="仿宋" w:eastAsia="仿宋" w:cs="仿宋"/>
          <w:sz w:val="30"/>
          <w:szCs w:val="30"/>
        </w:rPr>
      </w:pPr>
    </w:p>
    <w:sectPr>
      <w:headerReference r:id="rId4" w:type="default"/>
      <w:footerReference r:id="rId5"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Pi91E0AAAAAIBAAAPAAAAAAAAAAEAIAAAACIAAABkcnMv&#10;ZG93bnJldi54bWxQSwECFAAUAAAACACHTuJAUMXU5AsCAAABBAAADgAAAAAAAAABACAAAAAfAQAA&#10;ZHJzL2Uyb0RvYy54bWxQSwUGAAAAAAYABgBZAQAAnAUAAA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drawing>
        <wp:inline distT="0" distB="0" distL="0" distR="0">
          <wp:extent cx="4495800" cy="6781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495800" cy="678180"/>
                  </a:xfrm>
                  <a:prstGeom prst="rect">
                    <a:avLst/>
                  </a:prstGeom>
                  <a:noFill/>
                  <a:ln>
                    <a:noFill/>
                  </a:ln>
                  <a:effec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drawing>
        <wp:inline distT="0" distB="0" distL="0" distR="0">
          <wp:extent cx="4495800" cy="67818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495800" cy="678180"/>
                  </a:xfrm>
                  <a:prstGeom prst="rect">
                    <a:avLst/>
                  </a:prstGeom>
                  <a:noFill/>
                  <a:ln>
                    <a:noFill/>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7A1E00"/>
    <w:multiLevelType w:val="singleLevel"/>
    <w:tmpl w:val="D17A1E00"/>
    <w:lvl w:ilvl="0" w:tentative="0">
      <w:start w:val="1"/>
      <w:numFmt w:val="chineseCounting"/>
      <w:suff w:val="nothing"/>
      <w:lvlText w:val="（%1）"/>
      <w:lvlJc w:val="left"/>
      <w:rPr>
        <w:rFonts w:hint="eastAsia"/>
      </w:rPr>
    </w:lvl>
  </w:abstractNum>
  <w:abstractNum w:abstractNumId="1">
    <w:nsid w:val="EF187487"/>
    <w:multiLevelType w:val="singleLevel"/>
    <w:tmpl w:val="EF187487"/>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432"/>
    <w:rsid w:val="00015EBE"/>
    <w:rsid w:val="000469D2"/>
    <w:rsid w:val="0005197F"/>
    <w:rsid w:val="00054EDE"/>
    <w:rsid w:val="00076D3F"/>
    <w:rsid w:val="00077728"/>
    <w:rsid w:val="00081C30"/>
    <w:rsid w:val="00090810"/>
    <w:rsid w:val="000B02A2"/>
    <w:rsid w:val="000C29A0"/>
    <w:rsid w:val="000D61F4"/>
    <w:rsid w:val="00105158"/>
    <w:rsid w:val="001250BF"/>
    <w:rsid w:val="0014300C"/>
    <w:rsid w:val="001705F1"/>
    <w:rsid w:val="0018655A"/>
    <w:rsid w:val="00192F21"/>
    <w:rsid w:val="00196DAE"/>
    <w:rsid w:val="001B0599"/>
    <w:rsid w:val="001F7C1C"/>
    <w:rsid w:val="00241CDF"/>
    <w:rsid w:val="00245379"/>
    <w:rsid w:val="0024555B"/>
    <w:rsid w:val="002457E1"/>
    <w:rsid w:val="002567DA"/>
    <w:rsid w:val="002A76F9"/>
    <w:rsid w:val="00381954"/>
    <w:rsid w:val="00384366"/>
    <w:rsid w:val="00394432"/>
    <w:rsid w:val="003D49D2"/>
    <w:rsid w:val="0040217E"/>
    <w:rsid w:val="004149ED"/>
    <w:rsid w:val="004170F0"/>
    <w:rsid w:val="00453663"/>
    <w:rsid w:val="00480890"/>
    <w:rsid w:val="004871E9"/>
    <w:rsid w:val="004A06FA"/>
    <w:rsid w:val="004B6CDB"/>
    <w:rsid w:val="00560BE5"/>
    <w:rsid w:val="00596F8A"/>
    <w:rsid w:val="00660B1C"/>
    <w:rsid w:val="00685C3A"/>
    <w:rsid w:val="006872A9"/>
    <w:rsid w:val="006C38BE"/>
    <w:rsid w:val="006F50BC"/>
    <w:rsid w:val="00712F4C"/>
    <w:rsid w:val="007164BB"/>
    <w:rsid w:val="00722FCC"/>
    <w:rsid w:val="00733DCF"/>
    <w:rsid w:val="007927B0"/>
    <w:rsid w:val="007B44E9"/>
    <w:rsid w:val="007E7C55"/>
    <w:rsid w:val="007F6CCA"/>
    <w:rsid w:val="0080181B"/>
    <w:rsid w:val="00801F51"/>
    <w:rsid w:val="008F7872"/>
    <w:rsid w:val="00912C52"/>
    <w:rsid w:val="0095199C"/>
    <w:rsid w:val="009A3171"/>
    <w:rsid w:val="009D7677"/>
    <w:rsid w:val="00A63982"/>
    <w:rsid w:val="00B169A8"/>
    <w:rsid w:val="00B21E7B"/>
    <w:rsid w:val="00B40EB7"/>
    <w:rsid w:val="00B82A74"/>
    <w:rsid w:val="00BC3BBC"/>
    <w:rsid w:val="00BE0E82"/>
    <w:rsid w:val="00BF6703"/>
    <w:rsid w:val="00C26C7C"/>
    <w:rsid w:val="00C36AAE"/>
    <w:rsid w:val="00C56241"/>
    <w:rsid w:val="00C86341"/>
    <w:rsid w:val="00D0439C"/>
    <w:rsid w:val="00D373B3"/>
    <w:rsid w:val="00DC2A9B"/>
    <w:rsid w:val="00E30589"/>
    <w:rsid w:val="00E5450B"/>
    <w:rsid w:val="00E63A6C"/>
    <w:rsid w:val="00E74596"/>
    <w:rsid w:val="00EC16FA"/>
    <w:rsid w:val="00EF29AE"/>
    <w:rsid w:val="00FB3822"/>
    <w:rsid w:val="00FD36C9"/>
    <w:rsid w:val="129202BA"/>
    <w:rsid w:val="129F54E2"/>
    <w:rsid w:val="13D27469"/>
    <w:rsid w:val="194E51BA"/>
    <w:rsid w:val="196C3572"/>
    <w:rsid w:val="1B2D353D"/>
    <w:rsid w:val="20FF0538"/>
    <w:rsid w:val="246217DC"/>
    <w:rsid w:val="25CD4B37"/>
    <w:rsid w:val="26A05A17"/>
    <w:rsid w:val="27267FA1"/>
    <w:rsid w:val="2AEC3F9A"/>
    <w:rsid w:val="2C321DF9"/>
    <w:rsid w:val="3621174B"/>
    <w:rsid w:val="388016B8"/>
    <w:rsid w:val="38AE7BA5"/>
    <w:rsid w:val="4AFE4EFE"/>
    <w:rsid w:val="4C317A22"/>
    <w:rsid w:val="4DD55A48"/>
    <w:rsid w:val="4E93749B"/>
    <w:rsid w:val="52223BE1"/>
    <w:rsid w:val="53C87040"/>
    <w:rsid w:val="557F51D7"/>
    <w:rsid w:val="55BC65F2"/>
    <w:rsid w:val="583A4E0E"/>
    <w:rsid w:val="5DC80D00"/>
    <w:rsid w:val="5FDB440F"/>
    <w:rsid w:val="610C3595"/>
    <w:rsid w:val="625E3F5F"/>
    <w:rsid w:val="641D1B58"/>
    <w:rsid w:val="65D22DC3"/>
    <w:rsid w:val="6EBF04F3"/>
    <w:rsid w:val="70C12156"/>
    <w:rsid w:val="72A42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99" w:name="HTML Preformatted"/>
    <w:lsdException w:qFormat="1" w:unhideWhenUsed="0" w:uiPriority="0" w:semiHidden="0" w:name="HTML Sample"/>
    <w:lsdException w:uiPriority="99" w:name="HTML Typewriter"/>
    <w:lsdException w:qFormat="1" w:unhideWhenUsed="0" w:uiPriority="0" w:semiHidden="0"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9"/>
    <w:qFormat/>
    <w:uiPriority w:val="0"/>
    <w:pPr>
      <w:keepNext/>
      <w:keepLines/>
      <w:spacing w:before="340" w:after="330" w:line="576" w:lineRule="auto"/>
      <w:outlineLvl w:val="0"/>
    </w:pPr>
    <w:rPr>
      <w:rFonts w:ascii="Calibri" w:hAnsi="Calibri"/>
      <w:b/>
      <w:kern w:val="44"/>
      <w:sz w:val="44"/>
    </w:rPr>
  </w:style>
  <w:style w:type="paragraph" w:styleId="4">
    <w:name w:val="heading 5"/>
    <w:basedOn w:val="1"/>
    <w:next w:val="1"/>
    <w:link w:val="34"/>
    <w:semiHidden/>
    <w:unhideWhenUsed/>
    <w:qFormat/>
    <w:uiPriority w:val="9"/>
    <w:pPr>
      <w:keepNext/>
      <w:keepLines/>
      <w:spacing w:before="280" w:after="290" w:line="376" w:lineRule="auto"/>
      <w:outlineLvl w:val="4"/>
    </w:pPr>
    <w:rPr>
      <w:b/>
      <w:bCs/>
      <w:sz w:val="28"/>
      <w:szCs w:val="28"/>
    </w:rPr>
  </w:style>
  <w:style w:type="paragraph" w:styleId="5">
    <w:name w:val="heading 7"/>
    <w:basedOn w:val="1"/>
    <w:next w:val="1"/>
    <w:qFormat/>
    <w:uiPriority w:val="0"/>
    <w:pPr>
      <w:keepNext/>
      <w:keepLines/>
      <w:spacing w:before="240" w:after="64" w:line="317" w:lineRule="auto"/>
      <w:outlineLvl w:val="6"/>
    </w:pPr>
    <w:rPr>
      <w:b/>
      <w:sz w:val="2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99"/>
    <w:pPr>
      <w:adjustRightInd w:val="0"/>
      <w:spacing w:before="120" w:after="120" w:line="360" w:lineRule="auto"/>
      <w:jc w:val="left"/>
    </w:pPr>
    <w:rPr>
      <w:rFonts w:ascii="Cambria" w:hAnsi="Cambria" w:eastAsia="黑体"/>
      <w:sz w:val="28"/>
      <w:szCs w:val="28"/>
    </w:rPr>
  </w:style>
  <w:style w:type="paragraph" w:styleId="6">
    <w:name w:val="annotation text"/>
    <w:basedOn w:val="1"/>
    <w:link w:val="35"/>
    <w:semiHidden/>
    <w:unhideWhenUsed/>
    <w:qFormat/>
    <w:uiPriority w:val="99"/>
    <w:pPr>
      <w:jc w:val="left"/>
    </w:pPr>
  </w:style>
  <w:style w:type="paragraph" w:styleId="7">
    <w:name w:val="Plain Text"/>
    <w:basedOn w:val="1"/>
    <w:unhideWhenUsed/>
    <w:uiPriority w:val="99"/>
    <w:rPr>
      <w:rFonts w:ascii="宋体" w:hAnsi="Courier New"/>
      <w:sz w:val="30"/>
    </w:rPr>
  </w:style>
  <w:style w:type="paragraph" w:styleId="8">
    <w:name w:val="Balloon Text"/>
    <w:basedOn w:val="1"/>
    <w:link w:val="37"/>
    <w:semiHidden/>
    <w:unhideWhenUsed/>
    <w:qFormat/>
    <w:uiPriority w:val="99"/>
    <w:rPr>
      <w:sz w:val="18"/>
      <w:szCs w:val="18"/>
    </w:rPr>
  </w:style>
  <w:style w:type="paragraph" w:styleId="9">
    <w:name w:val="footer"/>
    <w:basedOn w:val="1"/>
    <w:link w:val="27"/>
    <w:unhideWhenUsed/>
    <w:qFormat/>
    <w:uiPriority w:val="0"/>
    <w:pPr>
      <w:tabs>
        <w:tab w:val="center" w:pos="4153"/>
        <w:tab w:val="right" w:pos="8306"/>
      </w:tabs>
      <w:snapToGrid w:val="0"/>
      <w:jc w:val="left"/>
    </w:pPr>
    <w:rPr>
      <w:sz w:val="18"/>
      <w:szCs w:val="18"/>
    </w:rPr>
  </w:style>
  <w:style w:type="paragraph" w:styleId="10">
    <w:name w:val="header"/>
    <w:basedOn w:val="1"/>
    <w:link w:val="26"/>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rPr>
      <w:rFonts w:ascii="Calibri" w:hAnsi="Calibri" w:eastAsia="宋体"/>
      <w:szCs w:val="22"/>
    </w:rPr>
  </w:style>
  <w:style w:type="paragraph" w:styleId="12">
    <w:name w:val="annotation subject"/>
    <w:basedOn w:val="6"/>
    <w:next w:val="6"/>
    <w:link w:val="36"/>
    <w:semiHidden/>
    <w:unhideWhenUsed/>
    <w:qFormat/>
    <w:uiPriority w:val="99"/>
    <w:rPr>
      <w:b/>
      <w:bCs/>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FollowedHyperlink"/>
    <w:basedOn w:val="15"/>
    <w:qFormat/>
    <w:uiPriority w:val="0"/>
    <w:rPr>
      <w:color w:val="2D64B3"/>
      <w:u w:val="none"/>
    </w:rPr>
  </w:style>
  <w:style w:type="character" w:styleId="17">
    <w:name w:val="Emphasis"/>
    <w:basedOn w:val="15"/>
    <w:qFormat/>
    <w:uiPriority w:val="0"/>
  </w:style>
  <w:style w:type="character" w:styleId="18">
    <w:name w:val="HTML Definition"/>
    <w:basedOn w:val="15"/>
    <w:qFormat/>
    <w:uiPriority w:val="0"/>
  </w:style>
  <w:style w:type="character" w:styleId="19">
    <w:name w:val="HTML Variable"/>
    <w:basedOn w:val="15"/>
    <w:qFormat/>
    <w:uiPriority w:val="0"/>
  </w:style>
  <w:style w:type="character" w:styleId="20">
    <w:name w:val="Hyperlink"/>
    <w:basedOn w:val="15"/>
    <w:qFormat/>
    <w:uiPriority w:val="0"/>
    <w:rPr>
      <w:color w:val="2D64B3"/>
      <w:u w:val="none"/>
    </w:rPr>
  </w:style>
  <w:style w:type="character" w:styleId="21">
    <w:name w:val="HTML Code"/>
    <w:basedOn w:val="15"/>
    <w:qFormat/>
    <w:uiPriority w:val="0"/>
    <w:rPr>
      <w:rFonts w:hint="default" w:ascii="Arial" w:hAnsi="Arial" w:cs="Arial"/>
      <w:sz w:val="20"/>
    </w:rPr>
  </w:style>
  <w:style w:type="character" w:styleId="22">
    <w:name w:val="annotation reference"/>
    <w:basedOn w:val="15"/>
    <w:semiHidden/>
    <w:unhideWhenUsed/>
    <w:qFormat/>
    <w:uiPriority w:val="99"/>
    <w:rPr>
      <w:sz w:val="21"/>
      <w:szCs w:val="21"/>
    </w:rPr>
  </w:style>
  <w:style w:type="character" w:styleId="23">
    <w:name w:val="HTML Cite"/>
    <w:basedOn w:val="15"/>
    <w:qFormat/>
    <w:uiPriority w:val="0"/>
  </w:style>
  <w:style w:type="character" w:styleId="24">
    <w:name w:val="HTML Keyboard"/>
    <w:basedOn w:val="15"/>
    <w:qFormat/>
    <w:uiPriority w:val="0"/>
    <w:rPr>
      <w:rFonts w:hint="default" w:ascii="Arial" w:hAnsi="Arial" w:cs="Arial"/>
      <w:sz w:val="20"/>
    </w:rPr>
  </w:style>
  <w:style w:type="character" w:styleId="25">
    <w:name w:val="HTML Sample"/>
    <w:basedOn w:val="15"/>
    <w:qFormat/>
    <w:uiPriority w:val="0"/>
    <w:rPr>
      <w:rFonts w:hint="eastAsia" w:ascii="Arial" w:hAnsi="Arial" w:cs="Arial"/>
    </w:rPr>
  </w:style>
  <w:style w:type="character" w:customStyle="1" w:styleId="26">
    <w:name w:val="页眉 字符"/>
    <w:basedOn w:val="15"/>
    <w:link w:val="10"/>
    <w:qFormat/>
    <w:uiPriority w:val="99"/>
    <w:rPr>
      <w:sz w:val="18"/>
      <w:szCs w:val="18"/>
    </w:rPr>
  </w:style>
  <w:style w:type="character" w:customStyle="1" w:styleId="27">
    <w:name w:val="页脚 字符"/>
    <w:basedOn w:val="15"/>
    <w:link w:val="9"/>
    <w:qFormat/>
    <w:uiPriority w:val="99"/>
    <w:rPr>
      <w:sz w:val="18"/>
      <w:szCs w:val="18"/>
    </w:rPr>
  </w:style>
  <w:style w:type="paragraph" w:customStyle="1" w:styleId="28">
    <w:name w:val="Char Char3 Char Char"/>
    <w:basedOn w:val="1"/>
    <w:next w:val="1"/>
    <w:qFormat/>
    <w:uiPriority w:val="0"/>
    <w:pPr>
      <w:widowControl/>
      <w:spacing w:line="560" w:lineRule="exact"/>
      <w:ind w:firstLine="560" w:firstLineChars="200"/>
    </w:pPr>
  </w:style>
  <w:style w:type="character" w:customStyle="1" w:styleId="29">
    <w:name w:val="标题 1 字符"/>
    <w:basedOn w:val="15"/>
    <w:link w:val="3"/>
    <w:qFormat/>
    <w:uiPriority w:val="0"/>
    <w:rPr>
      <w:rFonts w:ascii="Calibri" w:hAnsi="Calibri" w:eastAsia="宋体" w:cs="Times New Roman"/>
      <w:b/>
      <w:kern w:val="44"/>
      <w:sz w:val="44"/>
      <w:szCs w:val="24"/>
    </w:rPr>
  </w:style>
  <w:style w:type="character" w:customStyle="1" w:styleId="30">
    <w:name w:val="font11"/>
    <w:basedOn w:val="15"/>
    <w:qFormat/>
    <w:uiPriority w:val="0"/>
    <w:rPr>
      <w:rFonts w:hint="eastAsia" w:ascii="宋体" w:hAnsi="宋体" w:eastAsia="宋体" w:cs="宋体"/>
      <w:color w:val="000000"/>
      <w:sz w:val="24"/>
      <w:szCs w:val="24"/>
      <w:u w:val="none"/>
    </w:rPr>
  </w:style>
  <w:style w:type="paragraph" w:styleId="31">
    <w:name w:val="List Paragraph"/>
    <w:basedOn w:val="1"/>
    <w:qFormat/>
    <w:uiPriority w:val="34"/>
    <w:pPr>
      <w:ind w:firstLine="420" w:firstLineChars="200"/>
    </w:pPr>
  </w:style>
  <w:style w:type="table" w:customStyle="1" w:styleId="32">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33">
    <w:name w:val="Table Paragraph"/>
    <w:basedOn w:val="1"/>
    <w:qFormat/>
    <w:uiPriority w:val="1"/>
    <w:pPr>
      <w:autoSpaceDE w:val="0"/>
      <w:autoSpaceDN w:val="0"/>
      <w:jc w:val="left"/>
    </w:pPr>
    <w:rPr>
      <w:rFonts w:eastAsia="Times New Roman"/>
      <w:kern w:val="0"/>
      <w:sz w:val="22"/>
      <w:szCs w:val="22"/>
      <w:lang w:eastAsia="en-US"/>
    </w:rPr>
  </w:style>
  <w:style w:type="character" w:customStyle="1" w:styleId="34">
    <w:name w:val="标题 5 字符"/>
    <w:basedOn w:val="15"/>
    <w:link w:val="4"/>
    <w:qFormat/>
    <w:uiPriority w:val="0"/>
    <w:rPr>
      <w:b/>
      <w:bCs/>
      <w:kern w:val="2"/>
      <w:sz w:val="28"/>
      <w:szCs w:val="28"/>
    </w:rPr>
  </w:style>
  <w:style w:type="character" w:customStyle="1" w:styleId="35">
    <w:name w:val="批注文字 字符"/>
    <w:basedOn w:val="15"/>
    <w:link w:val="6"/>
    <w:semiHidden/>
    <w:qFormat/>
    <w:uiPriority w:val="99"/>
    <w:rPr>
      <w:kern w:val="2"/>
      <w:sz w:val="21"/>
      <w:szCs w:val="24"/>
    </w:rPr>
  </w:style>
  <w:style w:type="character" w:customStyle="1" w:styleId="36">
    <w:name w:val="批注主题 字符"/>
    <w:basedOn w:val="35"/>
    <w:link w:val="12"/>
    <w:semiHidden/>
    <w:qFormat/>
    <w:uiPriority w:val="99"/>
    <w:rPr>
      <w:b/>
      <w:bCs/>
      <w:kern w:val="2"/>
      <w:sz w:val="21"/>
      <w:szCs w:val="24"/>
    </w:rPr>
  </w:style>
  <w:style w:type="character" w:customStyle="1" w:styleId="37">
    <w:name w:val="批注框文本 字符"/>
    <w:basedOn w:val="15"/>
    <w:link w:val="8"/>
    <w:semiHidden/>
    <w:qFormat/>
    <w:uiPriority w:val="99"/>
    <w:rPr>
      <w:kern w:val="2"/>
      <w:sz w:val="18"/>
      <w:szCs w:val="18"/>
    </w:rPr>
  </w:style>
  <w:style w:type="paragraph" w:customStyle="1" w:styleId="38">
    <w:name w:val="列出段落1"/>
    <w:basedOn w:val="1"/>
    <w:qFormat/>
    <w:uiPriority w:val="34"/>
    <w:pPr>
      <w:ind w:firstLine="420" w:firstLineChars="200"/>
    </w:pPr>
    <w:rPr>
      <w:rFonts w:ascii="Calibri" w:hAnsi="Calibri" w:eastAsia="宋体"/>
      <w:sz w:val="21"/>
      <w:szCs w:val="22"/>
    </w:rPr>
  </w:style>
  <w:style w:type="paragraph" w:customStyle="1" w:styleId="39">
    <w:name w:val="_Style 11"/>
    <w:basedOn w:val="1"/>
    <w:next w:val="31"/>
    <w:qFormat/>
    <w:uiPriority w:val="34"/>
    <w:pPr>
      <w:ind w:firstLine="420" w:firstLineChars="200"/>
    </w:pPr>
    <w:rPr>
      <w:rFonts w:ascii="Calibri" w:hAnsi="Calibri" w:eastAsia="宋体"/>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D5DBC8-0C8D-48F3-952D-6255FB9AC827}">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1820</Words>
  <Characters>10376</Characters>
  <Lines>86</Lines>
  <Paragraphs>24</Paragraphs>
  <TotalTime>0</TotalTime>
  <ScaleCrop>false</ScaleCrop>
  <LinksUpToDate>false</LinksUpToDate>
  <CharactersWithSpaces>12172</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2020-12-12T02:42:00Z</dcterms:created>
  <dc:creator>xxch</dc:creator>
  <cp:lastModifiedBy>xvlintao</cp:lastModifiedBy>
  <cp:lastPrinted>2020-12-16T12:04:00Z</cp:lastPrinted>
  <dcterms:modified xsi:type="dcterms:W3CDTF">2022-07-09T04:49:09Z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E30D749B256740FE9654C648EBB8B3A9</vt:lpwstr>
  </property>
</Properties>
</file>