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6"/>
          <w:szCs w:val="56"/>
        </w:rPr>
      </w:pPr>
    </w:p>
    <w:p>
      <w:pPr>
        <w:jc w:val="center"/>
        <w:rPr>
          <w:b/>
          <w:sz w:val="56"/>
          <w:szCs w:val="56"/>
        </w:rPr>
      </w:pPr>
      <w:r>
        <w:rPr>
          <w:rFonts w:hint="eastAsia"/>
          <w:b/>
          <w:sz w:val="56"/>
          <w:szCs w:val="56"/>
        </w:rPr>
        <w:t>国土资源调查专业</w:t>
      </w:r>
      <w:r>
        <w:rPr>
          <w:b/>
          <w:sz w:val="56"/>
          <w:szCs w:val="56"/>
        </w:rPr>
        <w:t>人才培养方案</w:t>
      </w:r>
    </w:p>
    <w:p>
      <w:pPr>
        <w:jc w:val="center"/>
        <w:rPr>
          <w:rFonts w:hAnsi="宋体"/>
          <w:b/>
          <w:sz w:val="44"/>
          <w:szCs w:val="44"/>
        </w:rPr>
      </w:pPr>
      <w:r>
        <w:rPr>
          <w:rFonts w:hint="eastAsia" w:hAnsi="宋体"/>
          <w:b/>
          <w:sz w:val="44"/>
          <w:szCs w:val="44"/>
        </w:rPr>
        <w:t>（修订稿）</w:t>
      </w:r>
    </w:p>
    <w:p>
      <w:pPr>
        <w:jc w:val="center"/>
        <w:rPr>
          <w:b/>
          <w:sz w:val="72"/>
          <w:szCs w:val="72"/>
        </w:rPr>
      </w:pPr>
    </w:p>
    <w:p/>
    <w:p/>
    <w:p/>
    <w:p/>
    <w:p/>
    <w:p/>
    <w:p/>
    <w:p/>
    <w:p/>
    <w:p/>
    <w:p/>
    <w:p/>
    <w:p/>
    <w:p/>
    <w:p>
      <w:pPr>
        <w:ind w:firstLine="2800" w:firstLineChars="1000"/>
        <w:rPr>
          <w:sz w:val="28"/>
          <w:szCs w:val="36"/>
        </w:rPr>
      </w:pPr>
    </w:p>
    <w:p>
      <w:pPr>
        <w:ind w:firstLine="2800" w:firstLineChars="1000"/>
        <w:rPr>
          <w:sz w:val="28"/>
          <w:szCs w:val="36"/>
        </w:rPr>
      </w:pPr>
    </w:p>
    <w:p>
      <w:pPr>
        <w:ind w:firstLine="2800" w:firstLineChars="1000"/>
        <w:rPr>
          <w:sz w:val="28"/>
          <w:szCs w:val="36"/>
        </w:rPr>
      </w:pPr>
    </w:p>
    <w:p>
      <w:pPr>
        <w:ind w:firstLine="2800" w:firstLineChars="1000"/>
        <w:rPr>
          <w:sz w:val="28"/>
          <w:szCs w:val="36"/>
        </w:rPr>
      </w:pPr>
    </w:p>
    <w:p>
      <w:pPr>
        <w:spacing w:line="480" w:lineRule="auto"/>
        <w:jc w:val="center"/>
        <w:rPr>
          <w:sz w:val="32"/>
          <w:szCs w:val="32"/>
        </w:rPr>
      </w:pPr>
      <w:r>
        <w:rPr>
          <w:rFonts w:hint="eastAsia"/>
          <w:sz w:val="32"/>
          <w:szCs w:val="32"/>
        </w:rPr>
        <w:t>新乡测绘中等专业学校</w:t>
      </w:r>
    </w:p>
    <w:p>
      <w:pPr>
        <w:jc w:val="center"/>
        <w:rPr>
          <w:sz w:val="28"/>
          <w:szCs w:val="36"/>
        </w:rPr>
        <w:sectPr>
          <w:headerReference r:id="rId3" w:type="default"/>
          <w:pgSz w:w="11906" w:h="16838"/>
          <w:pgMar w:top="1440" w:right="1800" w:bottom="1440" w:left="1800" w:header="851" w:footer="992" w:gutter="0"/>
          <w:cols w:space="720" w:num="1"/>
          <w:docGrid w:type="lines" w:linePitch="312" w:charSpace="0"/>
        </w:sectPr>
      </w:pPr>
      <w:r>
        <w:rPr>
          <w:rFonts w:hint="eastAsia"/>
          <w:sz w:val="32"/>
          <w:szCs w:val="32"/>
        </w:rPr>
        <w:t>2020年</w:t>
      </w:r>
    </w:p>
    <w:p>
      <w:pPr>
        <w:spacing w:line="360" w:lineRule="auto"/>
        <w:rPr>
          <w:rFonts w:ascii="宋体" w:hAnsi="宋体" w:cs="宋体"/>
          <w:b/>
          <w:sz w:val="30"/>
          <w:szCs w:val="30"/>
        </w:rPr>
      </w:pPr>
      <w:r>
        <w:rPr>
          <w:rFonts w:hint="eastAsia" w:ascii="宋体" w:hAnsi="宋体" w:cs="宋体"/>
          <w:b/>
          <w:sz w:val="30"/>
          <w:szCs w:val="30"/>
        </w:rPr>
        <w:t>一、专业名称（专业代码）</w:t>
      </w:r>
    </w:p>
    <w:p>
      <w:pPr>
        <w:spacing w:line="360" w:lineRule="auto"/>
        <w:rPr>
          <w:rFonts w:hint="eastAsia" w:ascii="仿宋" w:hAnsi="仿宋" w:eastAsia="仿宋" w:cs="仿宋"/>
          <w:sz w:val="30"/>
          <w:szCs w:val="30"/>
        </w:rPr>
      </w:pPr>
      <w:r>
        <w:rPr>
          <w:rFonts w:hint="eastAsia" w:ascii="仿宋" w:hAnsi="仿宋" w:eastAsia="仿宋" w:cs="仿宋"/>
          <w:sz w:val="30"/>
          <w:szCs w:val="30"/>
        </w:rPr>
        <w:t>国土资源调查020100</w:t>
      </w:r>
    </w:p>
    <w:p>
      <w:pPr>
        <w:spacing w:line="360" w:lineRule="auto"/>
        <w:rPr>
          <w:rFonts w:ascii="宋体" w:hAnsi="宋体" w:cs="宋体"/>
          <w:b/>
          <w:sz w:val="30"/>
          <w:szCs w:val="30"/>
        </w:rPr>
      </w:pPr>
      <w:r>
        <w:rPr>
          <w:rFonts w:hint="eastAsia" w:ascii="宋体" w:hAnsi="宋体" w:cs="宋体"/>
          <w:b/>
          <w:sz w:val="30"/>
          <w:szCs w:val="30"/>
        </w:rPr>
        <w:t>二、入学要求</w:t>
      </w:r>
    </w:p>
    <w:p>
      <w:pPr>
        <w:spacing w:line="360" w:lineRule="auto"/>
        <w:rPr>
          <w:rFonts w:ascii="仿宋" w:hAnsi="仿宋" w:eastAsia="仿宋" w:cs="仿宋"/>
          <w:sz w:val="30"/>
          <w:szCs w:val="30"/>
        </w:rPr>
      </w:pPr>
      <w:r>
        <w:rPr>
          <w:rFonts w:hint="eastAsia" w:ascii="仿宋" w:hAnsi="仿宋" w:eastAsia="仿宋" w:cs="仿宋"/>
          <w:sz w:val="30"/>
          <w:szCs w:val="30"/>
        </w:rPr>
        <w:t>初中毕业或具有同等学历</w:t>
      </w:r>
    </w:p>
    <w:p>
      <w:pPr>
        <w:spacing w:line="360" w:lineRule="auto"/>
        <w:rPr>
          <w:rFonts w:ascii="宋体" w:hAnsi="宋体" w:cs="宋体"/>
          <w:b/>
          <w:sz w:val="30"/>
          <w:szCs w:val="30"/>
        </w:rPr>
      </w:pPr>
      <w:r>
        <w:rPr>
          <w:rFonts w:hint="eastAsia" w:ascii="宋体" w:hAnsi="宋体" w:cs="宋体"/>
          <w:b/>
          <w:sz w:val="30"/>
          <w:szCs w:val="30"/>
        </w:rPr>
        <w:t>三、基本学制</w:t>
      </w:r>
    </w:p>
    <w:p>
      <w:pPr>
        <w:spacing w:line="360" w:lineRule="auto"/>
        <w:rPr>
          <w:rFonts w:ascii="宋体" w:hAnsi="宋体" w:cs="宋体"/>
          <w:bCs/>
          <w:sz w:val="24"/>
        </w:rPr>
      </w:pPr>
      <w:r>
        <w:rPr>
          <w:rFonts w:hint="eastAsia" w:ascii="宋体" w:hAnsi="宋体" w:cs="宋体"/>
          <w:b/>
          <w:sz w:val="24"/>
        </w:rPr>
        <w:t xml:space="preserve"> </w:t>
      </w:r>
      <w:r>
        <w:rPr>
          <w:rFonts w:ascii="仿宋" w:hAnsi="仿宋" w:eastAsia="仿宋" w:cs="仿宋"/>
          <w:sz w:val="30"/>
          <w:szCs w:val="30"/>
        </w:rPr>
        <w:t xml:space="preserve">   3</w:t>
      </w:r>
      <w:r>
        <w:rPr>
          <w:rFonts w:hint="eastAsia" w:ascii="仿宋" w:hAnsi="仿宋" w:eastAsia="仿宋" w:cs="仿宋"/>
          <w:sz w:val="30"/>
          <w:szCs w:val="30"/>
        </w:rPr>
        <w:t>年</w:t>
      </w:r>
    </w:p>
    <w:p>
      <w:pPr>
        <w:spacing w:line="360" w:lineRule="auto"/>
        <w:rPr>
          <w:rFonts w:ascii="宋体" w:hAnsi="宋体" w:cs="宋体"/>
          <w:b/>
          <w:sz w:val="30"/>
          <w:szCs w:val="30"/>
        </w:rPr>
      </w:pPr>
      <w:r>
        <w:rPr>
          <w:rFonts w:hint="eastAsia" w:ascii="宋体" w:hAnsi="宋体" w:cs="宋体"/>
          <w:b/>
          <w:sz w:val="30"/>
          <w:szCs w:val="30"/>
        </w:rPr>
        <w:t>四、培养目标</w:t>
      </w:r>
    </w:p>
    <w:p>
      <w:pPr>
        <w:spacing w:line="360" w:lineRule="auto"/>
        <w:ind w:firstLine="600" w:firstLineChars="200"/>
        <w:rPr>
          <w:rFonts w:ascii="仿宋" w:hAnsi="仿宋" w:eastAsia="仿宋" w:cs="仿宋"/>
          <w:sz w:val="30"/>
          <w:szCs w:val="30"/>
        </w:rPr>
      </w:pPr>
      <w:r>
        <w:rPr>
          <w:rFonts w:hint="eastAsia" w:ascii="仿宋" w:hAnsi="仿宋" w:eastAsia="仿宋" w:cs="仿宋"/>
          <w:color w:val="000000"/>
          <w:sz w:val="30"/>
          <w:szCs w:val="30"/>
          <w:highlight w:val="none"/>
          <w:lang w:val="en-US" w:eastAsia="zh-CN"/>
        </w:rPr>
        <w:t>本专业坚持立德树人，培养以就业为导向，坚持工学结合，以职业能力训练与培养为主线，具备扎实的国土资源调查理论基础知识，同时也掌握先进的现代国土资源管理知识和土地信息技术，掌握土地资源调查、测绘、评价、规划、国土信息数据库建设与管理等基本理论知识与技能，具备国土资源调查与测绘、土地资源评价、规划设计、数据整理与加工、土地数据库建设与管理、不动产估价等基础能力和专业技能，面向国土部门、测绘、房管、城建、交通及社会相关行业或部门从事国土资源调查、测绘、评价、规划、国土信息处理、土地数据库建设、土地信息系统管理、不动产估价等技术工作，培养德智体美劳全面发展的复合型技术技能人才。</w:t>
      </w:r>
    </w:p>
    <w:p>
      <w:pPr>
        <w:spacing w:line="360" w:lineRule="auto"/>
        <w:rPr>
          <w:rFonts w:ascii="宋体" w:hAnsi="宋体" w:cs="宋体"/>
          <w:b/>
          <w:sz w:val="30"/>
          <w:szCs w:val="30"/>
        </w:rPr>
      </w:pPr>
      <w:r>
        <w:rPr>
          <w:rFonts w:hint="eastAsia" w:ascii="宋体" w:hAnsi="宋体" w:cs="宋体"/>
          <w:b/>
          <w:sz w:val="30"/>
          <w:szCs w:val="30"/>
        </w:rPr>
        <w:t>五、职业范围</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2157"/>
        <w:gridCol w:w="2274"/>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序号</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对应职位（岗位）</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职业资格证书举例</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1</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仿宋"/>
                <w:sz w:val="24"/>
                <w:szCs w:val="24"/>
              </w:rPr>
              <w:t>国土资源调查</w:t>
            </w:r>
            <w:r>
              <w:rPr>
                <w:rFonts w:hint="eastAsia" w:ascii="仿宋" w:hAnsi="仿宋" w:eastAsia="仿宋" w:cs="仿宋"/>
                <w:sz w:val="24"/>
                <w:szCs w:val="24"/>
                <w:lang w:val="en-US" w:eastAsia="zh-CN"/>
              </w:rPr>
              <w:t>内</w:t>
            </w:r>
            <w:r>
              <w:rPr>
                <w:rFonts w:hint="eastAsia" w:ascii="仿宋" w:hAnsi="仿宋" w:eastAsia="仿宋" w:cs="仿宋"/>
                <w:sz w:val="24"/>
                <w:szCs w:val="24"/>
              </w:rPr>
              <w:t>外业岗位</w:t>
            </w:r>
          </w:p>
        </w:tc>
        <w:tc>
          <w:tcPr>
            <w:tcW w:w="0" w:type="auto"/>
            <w:shd w:val="clear" w:color="auto" w:fill="auto"/>
          </w:tcPr>
          <w:p>
            <w:pPr>
              <w:spacing w:line="360" w:lineRule="auto"/>
              <w:rPr>
                <w:rFonts w:hint="eastAsia" w:ascii="仿宋" w:hAnsi="仿宋" w:eastAsia="仿宋" w:cs="宋体"/>
                <w:sz w:val="30"/>
                <w:szCs w:val="30"/>
                <w:lang w:eastAsia="zh-CN"/>
              </w:rPr>
            </w:pPr>
            <w:r>
              <w:rPr>
                <w:rFonts w:hint="eastAsia" w:ascii="仿宋" w:hAnsi="仿宋" w:eastAsia="仿宋" w:cs="仿宋"/>
                <w:sz w:val="24"/>
                <w:szCs w:val="24"/>
              </w:rPr>
              <w:t>房地产评估师、土地估价师</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仿宋"/>
                <w:sz w:val="24"/>
                <w:szCs w:val="24"/>
              </w:rPr>
              <w:t>土地管理、地籍测绘、矿产资源调查与管理</w:t>
            </w:r>
          </w:p>
        </w:tc>
      </w:tr>
    </w:tbl>
    <w:p>
      <w:pPr>
        <w:spacing w:line="360" w:lineRule="auto"/>
        <w:rPr>
          <w:rFonts w:ascii="仿宋" w:hAnsi="仿宋" w:eastAsia="仿宋" w:cs="仿宋"/>
          <w:sz w:val="30"/>
          <w:szCs w:val="30"/>
        </w:rPr>
      </w:pPr>
      <w:r>
        <w:rPr>
          <w:rFonts w:hint="eastAsia" w:ascii="仿宋" w:hAnsi="仿宋" w:eastAsia="仿宋" w:cs="仿宋"/>
          <w:sz w:val="30"/>
          <w:szCs w:val="30"/>
        </w:rPr>
        <w:t>说明：可根据区域实际情况和专业技能方向，结和1+</w:t>
      </w:r>
      <w:r>
        <w:rPr>
          <w:rFonts w:ascii="仿宋" w:hAnsi="仿宋" w:eastAsia="仿宋" w:cs="仿宋"/>
          <w:sz w:val="30"/>
          <w:szCs w:val="30"/>
        </w:rPr>
        <w:t>X</w:t>
      </w:r>
      <w:r>
        <w:rPr>
          <w:rFonts w:hint="eastAsia" w:ascii="仿宋" w:hAnsi="仿宋" w:eastAsia="仿宋" w:cs="仿宋"/>
          <w:sz w:val="30"/>
          <w:szCs w:val="30"/>
        </w:rPr>
        <w:t>试点工作，取得1个以上相关证书</w:t>
      </w:r>
    </w:p>
    <w:p>
      <w:pPr>
        <w:numPr>
          <w:ilvl w:val="0"/>
          <w:numId w:val="1"/>
        </w:numPr>
        <w:spacing w:line="360" w:lineRule="auto"/>
        <w:rPr>
          <w:rFonts w:ascii="宋体" w:hAnsi="宋体" w:cs="宋体"/>
          <w:b/>
          <w:sz w:val="30"/>
          <w:szCs w:val="30"/>
        </w:rPr>
      </w:pPr>
      <w:r>
        <w:rPr>
          <w:rFonts w:hint="eastAsia" w:ascii="宋体" w:hAnsi="宋体" w:cs="宋体"/>
          <w:b/>
          <w:sz w:val="30"/>
          <w:szCs w:val="30"/>
        </w:rPr>
        <w:t xml:space="preserve">人才培养规格 </w:t>
      </w:r>
      <w:r>
        <w:rPr>
          <w:rFonts w:ascii="宋体" w:hAnsi="宋体" w:cs="宋体"/>
          <w:b/>
          <w:sz w:val="30"/>
          <w:szCs w:val="30"/>
        </w:rPr>
        <w:t xml:space="preserve">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（一）培养目标 </w:t>
      </w:r>
    </w:p>
    <w:p>
      <w:pPr>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本专业坚持立德树人，培养以就业为导向，坚持工学结合，以职业能力训练与培养为主线，具备扎实的国土资源调查理论基础知识，同时也掌握先进的现代国土资源管理知识和土地信息技术，掌握土地资源调查、测绘、评价、规划、国土信息数据库建设与管理等基本理论知识与技能，具备国土资源调查与测绘、土地资源评价、规划设计、数据整理与加工 、土地数据库建设与管理、不动产估价等基础能力和专业技能，面向国土部门、测绘、房管、城建、交通及社会相关行业或部门从事国土资源调查、测绘、评价、规划、国土信息处理、土地数据库建设、土地信息系统管理、不动产估价等技术工作的德智体美劳全面发展的复合型技术技能人才。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（二）培养规格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1.专业核心能力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（1）国土资源调查；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（2）国土资源测绘；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（3）土地资源评价；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（4）土地规划设计；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（5）国土信息数据整理与加工；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（6）土地数据库建设；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（7）土地信息系统管理；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（8）不动产估价。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2.毕业生应具备的素质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（1）具备一定的政治理论水平和坚定的社会主义政治方向；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（2）具备一定的法制观念和良好的职业道德；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（3）具备健康的体魄，良好的文化、身体和心理素质；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（4）具备良好的学习能力、分析判断能力和解决问题的能力，社会适应能力和社交能力。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3.毕业生应具备的知识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（1）本专业必须的文化基础知识；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（2）一定的数学计算能力；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（3）国土资源调查的基本理论知识；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（4）专业必须的操作技能和专业技术知识；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（5）本专业的理论前沿和发展动态知识；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4.毕业生应具备的能力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（1）具备较强的文字和口头表达能力；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（2）具备较熟练的英语应用能力；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（3）较备熟练的计算机操作能力和信息处理能力；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（4）掌握国土资源调查的基本方法与技能；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（5）掌握国土资源测绘基本方法与技能；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（6）掌握数据整理与加工基本方法与技能；</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（7）掌握土地资源评价的基本方法与技能；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（8）掌握土地数据库建设及管理的基本方法与技能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（9）掌握土地规划设计的基本方法与技能；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（10）掌握不动产评估的基本方法与技能；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5.毕业生应具备的职业态度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（1）具有较强的社会责任感和事业心；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（2）具有良好的思想品德和道德意识，遵纪守法；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（3）具有良好的人际交往能力、团队合作精神和客户服务意识；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（4）有正确的择业观念，能够成功就业、创业；</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left"/>
        <w:textAlignment w:val="auto"/>
        <w:outlineLvl w:val="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七</w:t>
      </w:r>
      <w:r>
        <w:rPr>
          <w:rFonts w:hint="eastAsia" w:ascii="仿宋" w:hAnsi="仿宋" w:eastAsia="仿宋" w:cs="仿宋"/>
          <w:b/>
          <w:bCs/>
          <w:sz w:val="30"/>
          <w:szCs w:val="30"/>
          <w:highlight w:val="none"/>
          <w:lang w:eastAsia="zh-CN"/>
        </w:rPr>
        <w:t>、</w:t>
      </w:r>
      <w:r>
        <w:rPr>
          <w:rFonts w:hint="eastAsia" w:ascii="仿宋" w:hAnsi="仿宋" w:eastAsia="仿宋" w:cs="仿宋"/>
          <w:b/>
          <w:bCs/>
          <w:sz w:val="30"/>
          <w:szCs w:val="30"/>
          <w:highlight w:val="none"/>
        </w:rPr>
        <w:t>主要接续专业</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高职：工程测量技术、测绘工程技术、国土资源调查与管理、摄影测量与遥感技术等。</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left"/>
        <w:textAlignment w:val="auto"/>
        <w:outlineLvl w:val="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八、课程结构</w:t>
      </w:r>
    </w:p>
    <w:tbl>
      <w:tblPr>
        <w:tblStyle w:val="11"/>
        <w:tblW w:w="4998" w:type="pct"/>
        <w:tblInd w:w="0" w:type="dxa"/>
        <w:tblLayout w:type="autofit"/>
        <w:tblCellMar>
          <w:top w:w="0" w:type="dxa"/>
          <w:left w:w="0" w:type="dxa"/>
          <w:bottom w:w="0" w:type="dxa"/>
          <w:right w:w="0" w:type="dxa"/>
        </w:tblCellMar>
      </w:tblPr>
      <w:tblGrid>
        <w:gridCol w:w="2773"/>
        <w:gridCol w:w="2775"/>
        <w:gridCol w:w="2785"/>
      </w:tblGrid>
      <w:tr>
        <w:tblPrEx>
          <w:tblCellMar>
            <w:top w:w="0" w:type="dxa"/>
            <w:left w:w="0" w:type="dxa"/>
            <w:bottom w:w="0" w:type="dxa"/>
            <w:right w:w="0" w:type="dxa"/>
          </w:tblCellMar>
        </w:tblPrEx>
        <w:trPr>
          <w:trHeight w:val="312" w:hRule="atLeast"/>
        </w:trPr>
        <w:tc>
          <w:tcPr>
            <w:tcW w:w="166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类别</w:t>
            </w:r>
          </w:p>
        </w:tc>
        <w:tc>
          <w:tcPr>
            <w:tcW w:w="166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序号</w:t>
            </w:r>
          </w:p>
        </w:tc>
        <w:tc>
          <w:tcPr>
            <w:tcW w:w="167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课程名称</w:t>
            </w:r>
          </w:p>
        </w:tc>
      </w:tr>
      <w:tr>
        <w:tblPrEx>
          <w:tblCellMar>
            <w:top w:w="0" w:type="dxa"/>
            <w:left w:w="0" w:type="dxa"/>
            <w:bottom w:w="0" w:type="dxa"/>
            <w:right w:w="0" w:type="dxa"/>
          </w:tblCellMar>
        </w:tblPrEx>
        <w:trPr>
          <w:trHeight w:val="312"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7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12"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7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491" w:hRule="atLeast"/>
        </w:trPr>
        <w:tc>
          <w:tcPr>
            <w:tcW w:w="166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公共必修课程</w:t>
            </w: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职业生涯规划</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2</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职业道德与法律</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3</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经济政治与社会</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4</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哲学与人生</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5</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语文</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6</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数学</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7</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英语</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8</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历史</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9</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计算机应用基础</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10</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体育与健康</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11</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艺术</w:t>
            </w:r>
          </w:p>
        </w:tc>
      </w:tr>
      <w:tr>
        <w:tblPrEx>
          <w:tblCellMar>
            <w:top w:w="0" w:type="dxa"/>
            <w:left w:w="0" w:type="dxa"/>
            <w:bottom w:w="0" w:type="dxa"/>
            <w:right w:w="0" w:type="dxa"/>
          </w:tblCellMar>
        </w:tblPrEx>
        <w:trPr>
          <w:trHeight w:val="714" w:hRule="atLeast"/>
        </w:trPr>
        <w:tc>
          <w:tcPr>
            <w:tcW w:w="166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专业基础平台课程</w:t>
            </w: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计算机制图（CAD）</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2</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测量学</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3</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土地资源学</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4</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土地管理与实务</w:t>
            </w:r>
          </w:p>
        </w:tc>
      </w:tr>
      <w:tr>
        <w:tblPrEx>
          <w:tblCellMar>
            <w:top w:w="0" w:type="dxa"/>
            <w:left w:w="0" w:type="dxa"/>
            <w:bottom w:w="0" w:type="dxa"/>
            <w:right w:w="0" w:type="dxa"/>
          </w:tblCellMar>
        </w:tblPrEx>
        <w:trPr>
          <w:trHeight w:val="268" w:hRule="atLeast"/>
        </w:trPr>
        <w:tc>
          <w:tcPr>
            <w:tcW w:w="166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专业核心课程</w:t>
            </w: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地籍测绘</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2</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不动产估价</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3</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房产测绘</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4</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GNSS技术</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5</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土地管理信息系统</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6</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土地资源评价</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7</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土地利用规划</w:t>
            </w:r>
          </w:p>
        </w:tc>
      </w:tr>
      <w:tr>
        <w:tblPrEx>
          <w:tblCellMar>
            <w:top w:w="0" w:type="dxa"/>
            <w:left w:w="0" w:type="dxa"/>
            <w:bottom w:w="0" w:type="dxa"/>
            <w:right w:w="0" w:type="dxa"/>
          </w:tblCellMar>
        </w:tblPrEx>
        <w:trPr>
          <w:trHeight w:val="491" w:hRule="atLeast"/>
        </w:trPr>
        <w:tc>
          <w:tcPr>
            <w:tcW w:w="166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选修课程</w:t>
            </w: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心理健康教育</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2</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社交礼仪</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3</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安全教育</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4</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时事政策教育</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5</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文学欣赏</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6</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测绘法规</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7</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数据采集与制图技术</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8</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工程测量</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9</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建设用地管理</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10</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航空摄影测量学</w:t>
            </w:r>
          </w:p>
        </w:tc>
      </w:tr>
      <w:tr>
        <w:tblPrEx>
          <w:tblCellMar>
            <w:top w:w="0" w:type="dxa"/>
            <w:left w:w="0" w:type="dxa"/>
            <w:bottom w:w="0" w:type="dxa"/>
            <w:right w:w="0" w:type="dxa"/>
          </w:tblCellMar>
        </w:tblPrEx>
        <w:trPr>
          <w:trHeight w:val="256" w:hRule="atLeast"/>
        </w:trPr>
        <w:tc>
          <w:tcPr>
            <w:tcW w:w="1664" w:type="pct"/>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技能实训课程</w:t>
            </w: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计算机应用基础</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2</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计算机制图（CAD）</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3</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测量学实习</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4</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地籍测绘实习</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5</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房产测绘实习</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6</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GNSS实习</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7</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土地管理信息系统实习</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8</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土地资源评价实习</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9</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土地利用规划实习</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10</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数据采集与制图技术</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11</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工程测量</w:t>
            </w:r>
          </w:p>
        </w:tc>
      </w:tr>
      <w:tr>
        <w:tblPrEx>
          <w:tblCellMar>
            <w:top w:w="0" w:type="dxa"/>
            <w:left w:w="0" w:type="dxa"/>
            <w:bottom w:w="0" w:type="dxa"/>
            <w:right w:w="0" w:type="dxa"/>
          </w:tblCellMar>
        </w:tblPrEx>
        <w:trPr>
          <w:trHeight w:val="256" w:hRule="atLeast"/>
        </w:trPr>
        <w:tc>
          <w:tcPr>
            <w:tcW w:w="1664"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2"/>
                <w:szCs w:val="22"/>
                <w:u w:val="none"/>
              </w:rPr>
            </w:pPr>
          </w:p>
        </w:tc>
        <w:tc>
          <w:tcPr>
            <w:tcW w:w="1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12</w:t>
            </w:r>
          </w:p>
        </w:tc>
        <w:tc>
          <w:tcPr>
            <w:tcW w:w="1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rPr>
            </w:pPr>
            <w:r>
              <w:rPr>
                <w:rFonts w:hint="default" w:ascii="仿宋" w:hAnsi="仿宋" w:eastAsia="仿宋" w:cs="仿宋"/>
                <w:i w:val="0"/>
                <w:color w:val="000000"/>
                <w:kern w:val="0"/>
                <w:sz w:val="20"/>
                <w:szCs w:val="20"/>
                <w:u w:val="none"/>
                <w:lang w:val="en-US" w:eastAsia="zh-CN" w:bidi="ar"/>
              </w:rPr>
              <w:t>航空摄影测量学实习</w:t>
            </w:r>
          </w:p>
        </w:tc>
      </w:tr>
      <w:tr>
        <w:tblPrEx>
          <w:tblCellMar>
            <w:top w:w="0" w:type="dxa"/>
            <w:left w:w="0" w:type="dxa"/>
            <w:bottom w:w="0" w:type="dxa"/>
            <w:right w:w="0" w:type="dxa"/>
          </w:tblCellMar>
        </w:tblPrEx>
        <w:trPr>
          <w:trHeight w:val="277" w:hRule="atLeast"/>
        </w:trPr>
        <w:tc>
          <w:tcPr>
            <w:tcW w:w="5000"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顶岗实习</w:t>
            </w:r>
          </w:p>
        </w:tc>
      </w:tr>
    </w:tbl>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left"/>
        <w:textAlignment w:val="auto"/>
        <w:outlineLvl w:val="0"/>
        <w:rPr>
          <w:rFonts w:hint="eastAsia" w:ascii="仿宋" w:hAnsi="仿宋" w:eastAsia="仿宋" w:cs="仿宋"/>
          <w:b/>
          <w:bCs/>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left"/>
        <w:textAlignment w:val="auto"/>
        <w:outlineLvl w:val="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九、课程设置及要求</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本专业结构分为公共必修课程、专业基础平台课程、专业核心课程、选修课程、技能实训课程以及顶岗实习。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公共必修课程强调在不同学科之间构建共同的基础知识平台，主要包括思想政治理论课、语文、数学、英语、计算机应用基础、体育、历史等方面内容。为了达到专业培养目标，充分体现专业特色，以培养学生基本素质使学生学会做人、学会学习、学会工作、学会生存。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专业课程（专业基础平台课程、专业核心课程）体现专业核心知识、能力和素质要求；是指某一专业必须学习掌握的课程。此类课程是保证培养专门人才的根本。 </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选修课程体现学生兴趣爱好，可以根据学生自身实际情况获取新的知识，拓展已有的视野眼界。</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 xml:space="preserve">技能实训课程以及顶岗实习主要包括社会实践、实习、实训、课程设计、毕业实习等。集中实践教学环节应贯穿人才培养的全过程。为了达到专业培养目标，培养本专业学生的技能，结合本专业的知识点、能力点，构建了实践教学体系，以技能培养为核心，突出实践教学，使学生一就业就能上岗。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02" w:firstLineChars="200"/>
        <w:textAlignment w:val="auto"/>
        <w:outlineLvl w:val="1"/>
        <w:rPr>
          <w:rFonts w:hint="eastAsia" w:ascii="仿宋" w:hAnsi="仿宋" w:eastAsia="仿宋" w:cs="仿宋"/>
          <w:b/>
          <w:sz w:val="30"/>
          <w:szCs w:val="30"/>
          <w:highlight w:val="none"/>
          <w:lang w:eastAsia="zh-CN"/>
        </w:rPr>
      </w:pPr>
      <w:r>
        <w:rPr>
          <w:rFonts w:hint="eastAsia" w:ascii="仿宋" w:hAnsi="仿宋" w:eastAsia="仿宋" w:cs="仿宋"/>
          <w:b/>
          <w:sz w:val="30"/>
          <w:szCs w:val="30"/>
          <w:highlight w:val="none"/>
        </w:rPr>
        <w:t>公共</w:t>
      </w:r>
      <w:r>
        <w:rPr>
          <w:rFonts w:hint="eastAsia" w:ascii="仿宋" w:hAnsi="仿宋" w:eastAsia="仿宋" w:cs="仿宋"/>
          <w:b/>
          <w:sz w:val="30"/>
          <w:szCs w:val="30"/>
          <w:highlight w:val="none"/>
          <w:lang w:eastAsia="zh-CN"/>
        </w:rPr>
        <w:t>必修课程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1"/>
        <w:rPr>
          <w:rFonts w:hint="eastAsia" w:ascii="仿宋" w:hAnsi="仿宋" w:eastAsia="仿宋" w:cs="仿宋"/>
          <w:b/>
          <w:sz w:val="30"/>
          <w:szCs w:val="30"/>
          <w:highlight w:val="none"/>
          <w:lang w:eastAsia="zh-CN"/>
        </w:rPr>
      </w:pPr>
    </w:p>
    <w:tbl>
      <w:tblPr>
        <w:tblStyle w:val="11"/>
        <w:tblW w:w="4998" w:type="pct"/>
        <w:tblInd w:w="0" w:type="dxa"/>
        <w:tblLayout w:type="autofit"/>
        <w:tblCellMar>
          <w:top w:w="0" w:type="dxa"/>
          <w:left w:w="0" w:type="dxa"/>
          <w:bottom w:w="0" w:type="dxa"/>
          <w:right w:w="0" w:type="dxa"/>
        </w:tblCellMar>
      </w:tblPr>
      <w:tblGrid>
        <w:gridCol w:w="794"/>
        <w:gridCol w:w="832"/>
        <w:gridCol w:w="6374"/>
        <w:gridCol w:w="333"/>
      </w:tblGrid>
      <w:tr>
        <w:tblPrEx>
          <w:tblCellMar>
            <w:top w:w="0" w:type="dxa"/>
            <w:left w:w="0" w:type="dxa"/>
            <w:bottom w:w="0" w:type="dxa"/>
            <w:right w:w="0" w:type="dxa"/>
          </w:tblCellMar>
        </w:tblPrEx>
        <w:trPr>
          <w:trHeight w:val="219"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序号</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课程名称</w:t>
            </w:r>
          </w:p>
        </w:tc>
        <w:tc>
          <w:tcPr>
            <w:tcW w:w="38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20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主要教学内容和要求</w:t>
            </w:r>
          </w:p>
        </w:tc>
        <w:tc>
          <w:tcPr>
            <w:tcW w:w="2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参考学时</w:t>
            </w:r>
          </w:p>
        </w:tc>
      </w:tr>
      <w:tr>
        <w:tblPrEx>
          <w:tblCellMar>
            <w:top w:w="0" w:type="dxa"/>
            <w:left w:w="0" w:type="dxa"/>
            <w:bottom w:w="0" w:type="dxa"/>
            <w:right w:w="0" w:type="dxa"/>
          </w:tblCellMar>
        </w:tblPrEx>
        <w:trPr>
          <w:trHeight w:val="432"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语文</w:t>
            </w:r>
          </w:p>
        </w:tc>
        <w:tc>
          <w:tcPr>
            <w:tcW w:w="38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中等职业学校语文课程要在九年义务教育的基础上，培养学生热爱祖国语言文字的思想感情，使学生进一步提高正确理解与运用祖国语言文字的能力，提高科学文化素养，以适应就业和创业的需要。指导学生学习必需的语文基础知识，掌握日常生活和职业岗位需要的现代文阅读能力、写作能力、口语交际能力，具有初步的文学作品欣赏能力和浅易文言文阅读能力。指导学生掌握基本的语文学习方法，养成自学和运用语文的良好习惯。引导学生重视语言的积累和感悟，接受优秀文化的熏陶，提高思想品德修养和审美情趣，形成良好的个性、健全的人格，促进职业生涯的发展。</w:t>
            </w:r>
          </w:p>
        </w:tc>
        <w:tc>
          <w:tcPr>
            <w:tcW w:w="2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color w:val="000000"/>
                <w:kern w:val="0"/>
                <w:sz w:val="20"/>
                <w:szCs w:val="20"/>
                <w:highlight w:val="none"/>
                <w:u w:val="none"/>
                <w:lang w:val="en-US" w:eastAsia="zh-CN" w:bidi="ar"/>
              </w:rPr>
              <w:t>127</w:t>
            </w:r>
          </w:p>
        </w:tc>
      </w:tr>
      <w:tr>
        <w:tblPrEx>
          <w:tblCellMar>
            <w:top w:w="0" w:type="dxa"/>
            <w:left w:w="0" w:type="dxa"/>
            <w:bottom w:w="0" w:type="dxa"/>
            <w:right w:w="0" w:type="dxa"/>
          </w:tblCellMar>
        </w:tblPrEx>
        <w:trPr>
          <w:trHeight w:val="272"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数学</w:t>
            </w:r>
          </w:p>
        </w:tc>
        <w:tc>
          <w:tcPr>
            <w:tcW w:w="38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在九年义务教育基础上，使学生进一步学习并掌握职业岗位和生活中所必要的数学基础知识；培养学生的计算技能、计算工具使用技能和数据处理技能，培养学生的观察能力、空间想象能力、分析与解决问题能力和数学思维能力；引导学生逐步养成良好的学习习惯、实践意识、创新意识和实事求是的科学态度，提高学生就业能力与创业能力。</w:t>
            </w:r>
          </w:p>
        </w:tc>
        <w:tc>
          <w:tcPr>
            <w:tcW w:w="2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color w:val="000000"/>
                <w:kern w:val="0"/>
                <w:sz w:val="20"/>
                <w:szCs w:val="20"/>
                <w:highlight w:val="none"/>
                <w:u w:val="none"/>
                <w:lang w:val="en-US" w:eastAsia="zh-CN" w:bidi="ar"/>
              </w:rPr>
              <w:t>127</w:t>
            </w:r>
          </w:p>
        </w:tc>
      </w:tr>
      <w:tr>
        <w:tblPrEx>
          <w:tblCellMar>
            <w:top w:w="0" w:type="dxa"/>
            <w:left w:w="0" w:type="dxa"/>
            <w:bottom w:w="0" w:type="dxa"/>
            <w:right w:w="0" w:type="dxa"/>
          </w:tblCellMar>
        </w:tblPrEx>
        <w:trPr>
          <w:trHeight w:val="272"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英语</w:t>
            </w:r>
          </w:p>
        </w:tc>
        <w:tc>
          <w:tcPr>
            <w:tcW w:w="38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中等职业学校英语课程要在九年义务教育基础上，帮助学生进一步学习英语基础知识，培养听、说、读、写等语言技能，初步形成职场英语的应用能力；激发和培养学生学习英语的兴趣，提高学生学习的自信心，帮助学生掌握学习策略，养成良好的学习习惯，提高自主学习能力；引导学生了解、认识中西方文化差异，培养正确的情感、态度和价值观。</w:t>
            </w:r>
          </w:p>
        </w:tc>
        <w:tc>
          <w:tcPr>
            <w:tcW w:w="2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color w:val="000000"/>
                <w:kern w:val="0"/>
                <w:sz w:val="20"/>
                <w:szCs w:val="20"/>
                <w:highlight w:val="none"/>
                <w:u w:val="none"/>
                <w:lang w:val="en-US" w:eastAsia="zh-CN" w:bidi="ar"/>
              </w:rPr>
              <w:t>127</w:t>
            </w:r>
          </w:p>
        </w:tc>
      </w:tr>
      <w:tr>
        <w:tblPrEx>
          <w:tblCellMar>
            <w:top w:w="0" w:type="dxa"/>
            <w:left w:w="0" w:type="dxa"/>
            <w:bottom w:w="0" w:type="dxa"/>
            <w:right w:w="0" w:type="dxa"/>
          </w:tblCellMar>
        </w:tblPrEx>
        <w:trPr>
          <w:trHeight w:val="166"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4</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职业生涯规划</w:t>
            </w:r>
          </w:p>
        </w:tc>
        <w:tc>
          <w:tcPr>
            <w:tcW w:w="38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2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34</w:t>
            </w:r>
          </w:p>
        </w:tc>
      </w:tr>
      <w:tr>
        <w:tblPrEx>
          <w:tblCellMar>
            <w:top w:w="0" w:type="dxa"/>
            <w:left w:w="0" w:type="dxa"/>
            <w:bottom w:w="0" w:type="dxa"/>
            <w:right w:w="0" w:type="dxa"/>
          </w:tblCellMar>
        </w:tblPrEx>
        <w:trPr>
          <w:trHeight w:val="219"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5</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职业道德与法律</w:t>
            </w:r>
          </w:p>
        </w:tc>
        <w:tc>
          <w:tcPr>
            <w:tcW w:w="38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2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38</w:t>
            </w:r>
          </w:p>
        </w:tc>
      </w:tr>
      <w:tr>
        <w:tblPrEx>
          <w:tblCellMar>
            <w:top w:w="0" w:type="dxa"/>
            <w:left w:w="0" w:type="dxa"/>
            <w:bottom w:w="0" w:type="dxa"/>
            <w:right w:w="0" w:type="dxa"/>
          </w:tblCellMar>
        </w:tblPrEx>
        <w:trPr>
          <w:trHeight w:val="166"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6</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经济政治与社会</w:t>
            </w:r>
          </w:p>
        </w:tc>
        <w:tc>
          <w:tcPr>
            <w:tcW w:w="38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引导学生掌握马克思主义的相关基本观点和我国社会主义经济建设、政治建设、文化建设、社会建设的有关知识；提高思想政治素质，坚定走中国特色社会主义道路的信念；提高辨析社会现象、主动参与社会生活的能力。</w:t>
            </w:r>
          </w:p>
        </w:tc>
        <w:tc>
          <w:tcPr>
            <w:tcW w:w="2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38</w:t>
            </w:r>
          </w:p>
        </w:tc>
      </w:tr>
      <w:tr>
        <w:tblPrEx>
          <w:tblCellMar>
            <w:top w:w="0" w:type="dxa"/>
            <w:left w:w="0" w:type="dxa"/>
            <w:bottom w:w="0" w:type="dxa"/>
            <w:right w:w="0" w:type="dxa"/>
          </w:tblCellMar>
        </w:tblPrEx>
        <w:trPr>
          <w:trHeight w:val="219"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7</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哲学与人生</w:t>
            </w:r>
          </w:p>
        </w:tc>
        <w:tc>
          <w:tcPr>
            <w:tcW w:w="38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2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38</w:t>
            </w:r>
          </w:p>
        </w:tc>
      </w:tr>
      <w:tr>
        <w:tblPrEx>
          <w:tblCellMar>
            <w:top w:w="0" w:type="dxa"/>
            <w:left w:w="0" w:type="dxa"/>
            <w:bottom w:w="0" w:type="dxa"/>
            <w:right w:w="0" w:type="dxa"/>
          </w:tblCellMar>
        </w:tblPrEx>
        <w:trPr>
          <w:trHeight w:val="219"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200"/>
              <w:jc w:val="both"/>
              <w:textAlignment w:val="center"/>
              <w:rPr>
                <w:rFonts w:hint="default"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8</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历史</w:t>
            </w:r>
          </w:p>
        </w:tc>
        <w:tc>
          <w:tcPr>
            <w:tcW w:w="38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依据《中等职业学校历史课程标准》开设，学习这门课程能让学生学会一种思维——历史思维。掌握一种本领——鉴古知今,养成一种品格——砥砺气节。在九年制义务教育的基础上，促进中职学生进一步了解人类社会发展的基本脉络和优秀文化传统，从历史的角度了解和思考人与人、人与社会、人与自然的关系。增强历史使命感和社会责任感，树立正确的历史观，为未来的学习、工作和生活打下基础。</w:t>
            </w:r>
          </w:p>
        </w:tc>
        <w:tc>
          <w:tcPr>
            <w:tcW w:w="2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72</w:t>
            </w:r>
          </w:p>
        </w:tc>
      </w:tr>
      <w:tr>
        <w:tblPrEx>
          <w:tblCellMar>
            <w:top w:w="0" w:type="dxa"/>
            <w:left w:w="0" w:type="dxa"/>
            <w:bottom w:w="0" w:type="dxa"/>
            <w:right w:w="0" w:type="dxa"/>
          </w:tblCellMar>
        </w:tblPrEx>
        <w:trPr>
          <w:trHeight w:val="219"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color w:val="000000"/>
                <w:kern w:val="0"/>
                <w:sz w:val="20"/>
                <w:szCs w:val="20"/>
                <w:highlight w:val="none"/>
                <w:u w:val="none"/>
                <w:lang w:val="en-US" w:eastAsia="zh-CN" w:bidi="ar"/>
              </w:rPr>
              <w:t>9</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体育与健康</w:t>
            </w:r>
          </w:p>
        </w:tc>
        <w:tc>
          <w:tcPr>
            <w:tcW w:w="38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树立“健康第一”的指导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2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148</w:t>
            </w:r>
          </w:p>
        </w:tc>
      </w:tr>
      <w:tr>
        <w:tblPrEx>
          <w:tblCellMar>
            <w:top w:w="0" w:type="dxa"/>
            <w:left w:w="0" w:type="dxa"/>
            <w:bottom w:w="0" w:type="dxa"/>
            <w:right w:w="0" w:type="dxa"/>
          </w:tblCellMar>
        </w:tblPrEx>
        <w:trPr>
          <w:trHeight w:val="272"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color w:val="000000"/>
                <w:sz w:val="20"/>
                <w:szCs w:val="20"/>
                <w:highlight w:val="none"/>
                <w:u w:val="none"/>
                <w:lang w:val="en-US" w:eastAsia="zh-CN"/>
              </w:rPr>
              <w:t>10</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计算机与应用基础</w:t>
            </w:r>
          </w:p>
        </w:tc>
        <w:tc>
          <w:tcPr>
            <w:tcW w:w="38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本课程主要内容包括计算机系统的基本概念、基础知识。通过学习，使学生初步掌握计算机应用知识和技术。掌握计算机主流操作系统的使用方法；理解计算机文字处理的基础知识，熟练掌握文字处理软件、电子表格软件的使用方法；了解网络的基本概念及使用方法。培养学生计算机技术应用能力、实践能力和创新能力。</w:t>
            </w:r>
          </w:p>
        </w:tc>
        <w:tc>
          <w:tcPr>
            <w:tcW w:w="2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color w:val="000000"/>
                <w:kern w:val="0"/>
                <w:sz w:val="20"/>
                <w:szCs w:val="20"/>
                <w:highlight w:val="none"/>
                <w:u w:val="none"/>
                <w:lang w:val="en-US" w:eastAsia="zh-CN" w:bidi="ar"/>
              </w:rPr>
              <w:t>51</w:t>
            </w:r>
          </w:p>
        </w:tc>
      </w:tr>
      <w:tr>
        <w:tblPrEx>
          <w:tblCellMar>
            <w:top w:w="0" w:type="dxa"/>
            <w:left w:w="0" w:type="dxa"/>
            <w:bottom w:w="0" w:type="dxa"/>
            <w:right w:w="0" w:type="dxa"/>
          </w:tblCellMar>
        </w:tblPrEx>
        <w:trPr>
          <w:trHeight w:val="221"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highlight w:val="none"/>
                <w:u w:val="none"/>
                <w:lang w:val="en-US"/>
              </w:rPr>
            </w:pPr>
            <w:r>
              <w:rPr>
                <w:rFonts w:hint="eastAsia" w:ascii="仿宋" w:hAnsi="仿宋" w:eastAsia="仿宋" w:cs="仿宋"/>
                <w:i w:val="0"/>
                <w:color w:val="000000"/>
                <w:kern w:val="0"/>
                <w:sz w:val="20"/>
                <w:szCs w:val="20"/>
                <w:highlight w:val="none"/>
                <w:u w:val="none"/>
                <w:lang w:val="en-US" w:eastAsia="zh-CN" w:bidi="ar"/>
              </w:rPr>
              <w:t>11</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艺术</w:t>
            </w:r>
          </w:p>
        </w:tc>
        <w:tc>
          <w:tcPr>
            <w:tcW w:w="38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依据《中等职业学校公共艺术课程标准》开设，基础模块包括音乐与美术，拓展模块包括满足学生艺术特长发展和兴趣爱好、职业生涯发展和传承民族传统艺术等多元化需求内容。通过艺术作品赏析和艺术实践活动，使学生了解或掌握不同艺术门类的基本知识、技能和原理，引导学生树立正确的世界观、人生观和价值观，培养学生艺术欣赏能力，提高学生文化品位和审美素质。</w:t>
            </w:r>
          </w:p>
        </w:tc>
        <w:tc>
          <w:tcPr>
            <w:tcW w:w="2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76</w:t>
            </w:r>
          </w:p>
        </w:tc>
      </w:tr>
    </w:tbl>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outlineLvl w:val="1"/>
        <w:rPr>
          <w:rFonts w:hint="eastAsia" w:ascii="仿宋" w:hAnsi="仿宋" w:eastAsia="仿宋" w:cs="仿宋"/>
          <w:b/>
          <w:sz w:val="30"/>
          <w:szCs w:val="30"/>
          <w:highlight w:val="none"/>
        </w:rPr>
      </w:pPr>
      <w:r>
        <w:rPr>
          <w:rFonts w:hint="eastAsia" w:ascii="仿宋" w:hAnsi="仿宋" w:eastAsia="仿宋" w:cs="仿宋"/>
          <w:b/>
          <w:sz w:val="30"/>
          <w:szCs w:val="30"/>
          <w:highlight w:val="none"/>
        </w:rPr>
        <w:t>（二）专业课程（包括专业基础课程</w:t>
      </w:r>
      <w:r>
        <w:rPr>
          <w:rFonts w:hint="eastAsia" w:ascii="仿宋" w:hAnsi="仿宋" w:eastAsia="仿宋" w:cs="仿宋"/>
          <w:b/>
          <w:sz w:val="30"/>
          <w:szCs w:val="30"/>
          <w:highlight w:val="none"/>
          <w:lang w:eastAsia="zh-CN"/>
        </w:rPr>
        <w:t>、专业核心课程以及</w:t>
      </w:r>
      <w:r>
        <w:rPr>
          <w:rFonts w:hint="eastAsia" w:ascii="仿宋" w:hAnsi="仿宋" w:eastAsia="仿宋" w:cs="仿宋"/>
          <w:b/>
          <w:sz w:val="30"/>
          <w:szCs w:val="30"/>
          <w:highlight w:val="none"/>
        </w:rPr>
        <w:t>各种实习、实训）</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专业课程学时一般占总学时的三分之二，其中顶岗实习累计总学时6个月。</w:t>
      </w:r>
    </w:p>
    <w:p>
      <w:pPr>
        <w:ind w:firstLine="600" w:firstLineChars="200"/>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1、专业基础课程</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9"/>
        <w:gridCol w:w="997"/>
        <w:gridCol w:w="576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 w:hRule="atLeast"/>
        </w:trPr>
        <w:tc>
          <w:tcPr>
            <w:tcW w:w="419" w:type="pc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bidi="ar"/>
              </w:rPr>
              <w:t>序号</w:t>
            </w:r>
          </w:p>
        </w:tc>
        <w:tc>
          <w:tcPr>
            <w:tcW w:w="598" w:type="pct"/>
            <w:noWrap w:val="0"/>
            <w:tcMar>
              <w:top w:w="15" w:type="dxa"/>
              <w:left w:w="15" w:type="dxa"/>
              <w:right w:w="15" w:type="dxa"/>
            </w:tcMar>
            <w:vAlign w:val="center"/>
          </w:tcPr>
          <w:p>
            <w:pPr>
              <w:keepNext w:val="0"/>
              <w:keepLines w:val="0"/>
              <w:widowControl/>
              <w:suppressLineNumbers w:val="0"/>
              <w:ind w:firstLineChars="20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bidi="ar"/>
              </w:rPr>
              <w:t>课程名称</w:t>
            </w:r>
          </w:p>
        </w:tc>
        <w:tc>
          <w:tcPr>
            <w:tcW w:w="3454" w:type="pct"/>
            <w:noWrap w:val="0"/>
            <w:tcMar>
              <w:top w:w="15" w:type="dxa"/>
              <w:left w:w="15" w:type="dxa"/>
              <w:right w:w="15" w:type="dxa"/>
            </w:tcMar>
            <w:vAlign w:val="center"/>
          </w:tcPr>
          <w:p>
            <w:pPr>
              <w:keepNext w:val="0"/>
              <w:keepLines w:val="0"/>
              <w:widowControl/>
              <w:suppressLineNumbers w:val="0"/>
              <w:ind w:firstLineChars="20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bidi="ar"/>
              </w:rPr>
              <w:t>主要教学内容和要求</w:t>
            </w:r>
          </w:p>
        </w:tc>
        <w:tc>
          <w:tcPr>
            <w:tcW w:w="52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0"/>
                <w:szCs w:val="20"/>
                <w:highlight w:val="none"/>
                <w:u w:val="none"/>
              </w:rPr>
            </w:pPr>
            <w:r>
              <w:rPr>
                <w:rFonts w:hint="eastAsia" w:ascii="仿宋" w:hAnsi="仿宋" w:eastAsia="仿宋" w:cs="仿宋"/>
                <w:b/>
                <w:i w:val="0"/>
                <w:color w:val="auto"/>
                <w:kern w:val="0"/>
                <w:sz w:val="20"/>
                <w:szCs w:val="20"/>
                <w:highlight w:val="none"/>
                <w:u w:val="none"/>
                <w:lang w:val="en-US" w:eastAsia="zh-CN" w:bidi="ar"/>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419" w:type="pct"/>
            <w:noWrap w:val="0"/>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w:t>
            </w:r>
          </w:p>
        </w:tc>
        <w:tc>
          <w:tcPr>
            <w:tcW w:w="59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计算机制图（CAD）</w:t>
            </w:r>
          </w:p>
        </w:tc>
        <w:tc>
          <w:tcPr>
            <w:tcW w:w="3454" w:type="pct"/>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通过CAD的学习，了解制图的基本知识，掌握CAD绘图的基本方法，初步具有利用CAD绘图软件绘制工程图和专业图的基本技能</w:t>
            </w:r>
          </w:p>
        </w:tc>
        <w:tc>
          <w:tcPr>
            <w:tcW w:w="97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default" w:ascii="仿宋" w:hAnsi="仿宋" w:eastAsia="仿宋" w:cs="仿宋"/>
                <w:i w:val="0"/>
                <w:color w:val="000000"/>
                <w:kern w:val="0"/>
                <w:sz w:val="20"/>
                <w:szCs w:val="20"/>
                <w:u w:val="none"/>
                <w:lang w:val="en-US" w:eastAsia="zh-CN"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19" w:type="pct"/>
            <w:noWrap w:val="0"/>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2</w:t>
            </w:r>
          </w:p>
        </w:tc>
        <w:tc>
          <w:tcPr>
            <w:tcW w:w="59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测量学</w:t>
            </w:r>
          </w:p>
        </w:tc>
        <w:tc>
          <w:tcPr>
            <w:tcW w:w="3454" w:type="pct"/>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掌握测量的基本理论、基本知识和作业过程，掌握经纬仪、水准仪、全站仪的性能和使用方法；掌握五等导线和三四等水准测量的内外业作业方法；掌握图根控制的内外业作业方法；掌握大比例尺地形图的测绘方法。能正确阅读和使用地形图。</w:t>
            </w:r>
          </w:p>
        </w:tc>
        <w:tc>
          <w:tcPr>
            <w:tcW w:w="97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default" w:ascii="仿宋" w:hAnsi="仿宋" w:eastAsia="仿宋" w:cs="仿宋"/>
                <w:i w:val="0"/>
                <w:color w:val="000000"/>
                <w:kern w:val="0"/>
                <w:sz w:val="20"/>
                <w:szCs w:val="20"/>
                <w:u w:val="none"/>
                <w:lang w:val="en-US" w:eastAsia="zh-CN" w:bidi="ar"/>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trPr>
        <w:tc>
          <w:tcPr>
            <w:tcW w:w="419" w:type="pct"/>
            <w:noWrap w:val="0"/>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3</w:t>
            </w:r>
          </w:p>
        </w:tc>
        <w:tc>
          <w:tcPr>
            <w:tcW w:w="59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土地资源学</w:t>
            </w:r>
          </w:p>
        </w:tc>
        <w:tc>
          <w:tcPr>
            <w:tcW w:w="3454" w:type="pct"/>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fldChar w:fldCharType="begin"/>
            </w:r>
            <w:r>
              <w:rPr>
                <w:rFonts w:hint="eastAsia" w:ascii="仿宋" w:hAnsi="仿宋" w:eastAsia="仿宋" w:cs="仿宋"/>
                <w:i w:val="0"/>
                <w:color w:val="auto"/>
                <w:kern w:val="0"/>
                <w:sz w:val="20"/>
                <w:szCs w:val="20"/>
                <w:highlight w:val="none"/>
                <w:u w:val="none"/>
                <w:lang w:val="en-US" w:eastAsia="zh-CN" w:bidi="ar"/>
              </w:rPr>
              <w:instrText xml:space="preserve"> HYPERLINK "http://baike.so.com/doc/5415302-5653447.html" \o "http://baike.so.com/doc/5415302-5653447.html" </w:instrText>
            </w:r>
            <w:r>
              <w:rPr>
                <w:rFonts w:hint="eastAsia" w:ascii="仿宋" w:hAnsi="仿宋" w:eastAsia="仿宋" w:cs="仿宋"/>
                <w:i w:val="0"/>
                <w:color w:val="auto"/>
                <w:kern w:val="0"/>
                <w:sz w:val="20"/>
                <w:szCs w:val="20"/>
                <w:highlight w:val="none"/>
                <w:u w:val="none"/>
                <w:lang w:val="en-US" w:eastAsia="zh-CN" w:bidi="ar"/>
              </w:rPr>
              <w:fldChar w:fldCharType="separate"/>
            </w:r>
            <w:r>
              <w:rPr>
                <w:rStyle w:val="18"/>
                <w:rFonts w:hint="eastAsia" w:ascii="仿宋" w:hAnsi="仿宋" w:eastAsia="仿宋" w:cs="仿宋"/>
                <w:i w:val="0"/>
                <w:color w:val="auto"/>
                <w:sz w:val="20"/>
                <w:szCs w:val="20"/>
                <w:highlight w:val="none"/>
                <w:u w:val="none"/>
              </w:rPr>
              <w:t xml:space="preserve">通过教学让学生基本掌握农用土地资源的调查、分类、评估和利用等方面的基本原理和方法，了解国内外土地资源的基本现状与存在的问题，学会土地资源分析、阅读土地资源基本图件，掌握查阅、分析土地资源信息资料的能力。   </w:t>
            </w:r>
            <w:r>
              <w:rPr>
                <w:rFonts w:hint="eastAsia" w:ascii="仿宋" w:hAnsi="仿宋" w:eastAsia="仿宋" w:cs="仿宋"/>
                <w:i w:val="0"/>
                <w:color w:val="auto"/>
                <w:kern w:val="0"/>
                <w:sz w:val="20"/>
                <w:szCs w:val="20"/>
                <w:highlight w:val="none"/>
                <w:u w:val="none"/>
                <w:lang w:val="en-US" w:eastAsia="zh-CN" w:bidi="ar"/>
              </w:rPr>
              <w:fldChar w:fldCharType="end"/>
            </w:r>
          </w:p>
        </w:tc>
        <w:tc>
          <w:tcPr>
            <w:tcW w:w="97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default" w:ascii="仿宋" w:hAnsi="仿宋" w:eastAsia="仿宋" w:cs="仿宋"/>
                <w:i w:val="0"/>
                <w:color w:val="000000"/>
                <w:kern w:val="0"/>
                <w:sz w:val="20"/>
                <w:szCs w:val="20"/>
                <w:u w:val="none"/>
                <w:lang w:val="en-US" w:eastAsia="zh-CN"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trPr>
        <w:tc>
          <w:tcPr>
            <w:tcW w:w="419" w:type="pct"/>
            <w:noWrap w:val="0"/>
            <w:tcMar>
              <w:top w:w="15" w:type="dxa"/>
              <w:left w:w="15" w:type="dxa"/>
              <w:right w:w="15" w:type="dxa"/>
            </w:tcMar>
            <w:vAlign w:val="center"/>
          </w:tcPr>
          <w:p>
            <w:pPr>
              <w:keepNext w:val="0"/>
              <w:keepLines w:val="0"/>
              <w:widowControl/>
              <w:suppressLineNumbers w:val="0"/>
              <w:ind w:firstLineChars="200"/>
              <w:jc w:val="both"/>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4</w:t>
            </w:r>
          </w:p>
        </w:tc>
        <w:tc>
          <w:tcPr>
            <w:tcW w:w="59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土地管理与实务</w:t>
            </w:r>
          </w:p>
        </w:tc>
        <w:tc>
          <w:tcPr>
            <w:tcW w:w="3454" w:type="pct"/>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 xml:space="preserve"> 使学生掌握土地管理的基本理论和知识，增强应用土地以及相关的原理和方法来分析并解决土地相关问题的能力，并为以后学习有关的后续课程奠定必要的基础。</w:t>
            </w:r>
          </w:p>
        </w:tc>
        <w:tc>
          <w:tcPr>
            <w:tcW w:w="97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default" w:ascii="仿宋" w:hAnsi="仿宋" w:eastAsia="仿宋" w:cs="仿宋"/>
                <w:i w:val="0"/>
                <w:color w:val="000000"/>
                <w:kern w:val="0"/>
                <w:sz w:val="20"/>
                <w:szCs w:val="20"/>
                <w:u w:val="none"/>
                <w:lang w:val="en-US" w:eastAsia="zh-CN" w:bidi="ar"/>
              </w:rPr>
              <w:t>127</w:t>
            </w:r>
          </w:p>
        </w:tc>
      </w:tr>
    </w:tbl>
    <w:p>
      <w:pPr>
        <w:pStyle w:val="36"/>
        <w:keepNext w:val="0"/>
        <w:keepLines w:val="0"/>
        <w:pageBreakBefore w:val="0"/>
        <w:kinsoku/>
        <w:wordWrap/>
        <w:overflowPunct/>
        <w:topLinePunct w:val="0"/>
        <w:bidi w:val="0"/>
        <w:adjustRightInd/>
        <w:snapToGrid/>
        <w:spacing w:line="360" w:lineRule="auto"/>
        <w:ind w:left="780" w:firstLine="480" w:firstLineChars="200"/>
        <w:jc w:val="center"/>
        <w:textAlignment w:val="auto"/>
        <w:rPr>
          <w:rFonts w:hint="eastAsia" w:ascii="仿宋" w:hAnsi="仿宋" w:eastAsia="仿宋" w:cs="仿宋"/>
          <w:sz w:val="24"/>
          <w:szCs w:val="24"/>
          <w:highlight w:val="none"/>
        </w:rPr>
      </w:pPr>
    </w:p>
    <w:p>
      <w:pPr>
        <w:keepNext w:val="0"/>
        <w:keepLines w:val="0"/>
        <w:pageBreakBefore w:val="0"/>
        <w:numPr>
          <w:ilvl w:val="0"/>
          <w:numId w:val="3"/>
        </w:numPr>
        <w:kinsoku/>
        <w:wordWrap/>
        <w:overflowPunct/>
        <w:topLinePunct w:val="0"/>
        <w:bidi w:val="0"/>
        <w:adjustRightInd/>
        <w:snapToGrid/>
        <w:spacing w:line="360" w:lineRule="auto"/>
        <w:ind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专业核心课程</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28"/>
        <w:gridCol w:w="853"/>
        <w:gridCol w:w="6525"/>
        <w:gridCol w:w="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382" w:type="pc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序号</w:t>
            </w:r>
          </w:p>
        </w:tc>
        <w:tc>
          <w:tcPr>
            <w:tcW w:w="517" w:type="pct"/>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课程名称</w:t>
            </w:r>
          </w:p>
        </w:tc>
        <w:tc>
          <w:tcPr>
            <w:tcW w:w="3918" w:type="pct"/>
            <w:noWrap w:val="0"/>
            <w:tcMar>
              <w:top w:w="15" w:type="dxa"/>
              <w:left w:w="15" w:type="dxa"/>
              <w:right w:w="15" w:type="dxa"/>
            </w:tcMar>
            <w:vAlign w:val="center"/>
          </w:tcPr>
          <w:p>
            <w:pPr>
              <w:keepNext w:val="0"/>
              <w:keepLines w:val="0"/>
              <w:widowControl/>
              <w:suppressLineNumbers w:val="0"/>
              <w:ind w:firstLineChars="20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主要教学内容和要求</w:t>
            </w:r>
          </w:p>
        </w:tc>
        <w:tc>
          <w:tcPr>
            <w:tcW w:w="182" w:type="pc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highlight w:val="none"/>
                <w:u w:val="none"/>
              </w:rPr>
            </w:pPr>
            <w:r>
              <w:rPr>
                <w:rFonts w:hint="eastAsia" w:ascii="仿宋" w:hAnsi="仿宋" w:eastAsia="仿宋" w:cs="仿宋"/>
                <w:b/>
                <w:i w:val="0"/>
                <w:color w:val="000000"/>
                <w:kern w:val="0"/>
                <w:sz w:val="20"/>
                <w:szCs w:val="20"/>
                <w:highlight w:val="none"/>
                <w:u w:val="none"/>
                <w:lang w:val="en-US" w:eastAsia="zh-CN" w:bidi="ar"/>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1" w:hRule="atLeast"/>
        </w:trPr>
        <w:tc>
          <w:tcPr>
            <w:tcW w:w="382" w:type="pct"/>
            <w:noWrap w:val="0"/>
            <w:tcMar>
              <w:top w:w="15" w:type="dxa"/>
              <w:left w:w="15" w:type="dxa"/>
              <w:right w:w="15" w:type="dxa"/>
            </w:tcMar>
            <w:vAlign w:val="center"/>
          </w:tcPr>
          <w:p>
            <w:pPr>
              <w:keepNext w:val="0"/>
              <w:keepLines w:val="0"/>
              <w:widowControl/>
              <w:suppressLineNumbers w:val="0"/>
              <w:ind w:firstLineChars="20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1</w:t>
            </w:r>
          </w:p>
        </w:tc>
        <w:tc>
          <w:tcPr>
            <w:tcW w:w="51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地籍测绘</w:t>
            </w:r>
          </w:p>
        </w:tc>
        <w:tc>
          <w:tcPr>
            <w:tcW w:w="3918" w:type="pct"/>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使学生了解地籍调查与测量的基本知识，掌握地籍测绘的基本理论和基本技能，掌握现代地籍数字测量技术与方法，能在信息技术平台（GIS）上分析、解决国土资源管理业务相关的技术问题；其主要学习内容包括：地籍、地籍测量、地籍调查的基本理论、土地权属调查、土地利用现状调查、土地等级调查、房产调查的基本理论和方法、地籍控制测量、地籍细部测量、地籍图测绘、土地面积量算的基本理论和方法、日常地籍管理、数字地籍测量、地籍调查与测量的组织实施及现代测绘技术在地籍中的应用。 </w:t>
            </w:r>
          </w:p>
        </w:tc>
        <w:tc>
          <w:tcPr>
            <w:tcW w:w="31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default" w:ascii="仿宋" w:hAnsi="仿宋" w:eastAsia="仿宋" w:cs="仿宋"/>
                <w:i w:val="0"/>
                <w:color w:val="000000"/>
                <w:kern w:val="0"/>
                <w:sz w:val="20"/>
                <w:szCs w:val="20"/>
                <w:u w:val="none"/>
                <w:lang w:val="en-US" w:eastAsia="zh-CN" w:bidi="ar"/>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4" w:hRule="atLeast"/>
        </w:trPr>
        <w:tc>
          <w:tcPr>
            <w:tcW w:w="382" w:type="pct"/>
            <w:noWrap w:val="0"/>
            <w:tcMar>
              <w:top w:w="15" w:type="dxa"/>
              <w:left w:w="15" w:type="dxa"/>
              <w:right w:w="15" w:type="dxa"/>
            </w:tcMar>
            <w:vAlign w:val="center"/>
          </w:tcPr>
          <w:p>
            <w:pPr>
              <w:keepNext w:val="0"/>
              <w:keepLines w:val="0"/>
              <w:widowControl/>
              <w:suppressLineNumbers w:val="0"/>
              <w:ind w:firstLineChars="20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2</w:t>
            </w:r>
          </w:p>
        </w:tc>
        <w:tc>
          <w:tcPr>
            <w:tcW w:w="51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不动产估价</w:t>
            </w:r>
          </w:p>
        </w:tc>
        <w:tc>
          <w:tcPr>
            <w:tcW w:w="3918" w:type="pct"/>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使学生了解不动产估价的理论，掌握宗地地价与基准地价评估的技术方法，了解不动产评估成果的应用以及国内外不动产估价制度。通过实践教学使他们具有实际工作能力，学会运用理论知识解决实际问题；主要学习内容包括：不动产估价的基本原理、估价原则、估价方法（主要包括市场比较法、收益法、成本法、假设开发法、基准地价修正法和路线价法等）及应用、估价程序和估价报告的撰写，还介绍国内外不动产估价的实践和发展状况等。 </w:t>
            </w:r>
          </w:p>
        </w:tc>
        <w:tc>
          <w:tcPr>
            <w:tcW w:w="31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default" w:ascii="仿宋" w:hAnsi="仿宋" w:eastAsia="仿宋" w:cs="仿宋"/>
                <w:i w:val="0"/>
                <w:color w:val="000000"/>
                <w:kern w:val="0"/>
                <w:sz w:val="20"/>
                <w:szCs w:val="20"/>
                <w:u w:val="none"/>
                <w:lang w:val="en-US" w:eastAsia="zh-CN" w:bidi="ar"/>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1" w:hRule="atLeast"/>
        </w:trPr>
        <w:tc>
          <w:tcPr>
            <w:tcW w:w="382" w:type="pct"/>
            <w:noWrap w:val="0"/>
            <w:tcMar>
              <w:top w:w="15" w:type="dxa"/>
              <w:left w:w="15" w:type="dxa"/>
              <w:right w:w="15" w:type="dxa"/>
            </w:tcMar>
            <w:vAlign w:val="center"/>
          </w:tcPr>
          <w:p>
            <w:pPr>
              <w:keepNext w:val="0"/>
              <w:keepLines w:val="0"/>
              <w:widowControl/>
              <w:suppressLineNumbers w:val="0"/>
              <w:ind w:firstLineChars="20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3</w:t>
            </w:r>
          </w:p>
        </w:tc>
        <w:tc>
          <w:tcPr>
            <w:tcW w:w="51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房产测绘</w:t>
            </w:r>
          </w:p>
        </w:tc>
        <w:tc>
          <w:tcPr>
            <w:tcW w:w="3918" w:type="pct"/>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 是使学生了解房产测绘的基本知识，掌握房产测绘的基本理论和基本技能，掌握现代房产数字测量技术与方法，能在信息技术平台（GIS）上分析、解决房产测绘业务相关的技术问题；其主要学习内容包括：房地产基本概念、房产调查的内容、方法及技术要求；房产平面控制测量的技术方法、GPS测量方法、房产要素的测量方法及技术要求；房产图的测绘内容、成图方法、房屋建筑面积的计算方法及面积分摊的方法；数字房产测绘的基本理论、房产变更测量的方法及技术要求；房产测绘成果资料的管理。</w:t>
            </w:r>
          </w:p>
        </w:tc>
        <w:tc>
          <w:tcPr>
            <w:tcW w:w="31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default" w:ascii="仿宋" w:hAnsi="仿宋" w:eastAsia="仿宋" w:cs="仿宋"/>
                <w:i w:val="0"/>
                <w:color w:val="000000"/>
                <w:kern w:val="0"/>
                <w:sz w:val="20"/>
                <w:szCs w:val="20"/>
                <w:u w:val="none"/>
                <w:lang w:val="en-US" w:eastAsia="zh-CN" w:bidi="ar"/>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1" w:hRule="atLeast"/>
        </w:trPr>
        <w:tc>
          <w:tcPr>
            <w:tcW w:w="382" w:type="pct"/>
            <w:noWrap w:val="0"/>
            <w:tcMar>
              <w:top w:w="15" w:type="dxa"/>
              <w:left w:w="15" w:type="dxa"/>
              <w:right w:w="15" w:type="dxa"/>
            </w:tcMar>
            <w:vAlign w:val="center"/>
          </w:tcPr>
          <w:p>
            <w:pPr>
              <w:keepNext w:val="0"/>
              <w:keepLines w:val="0"/>
              <w:widowControl/>
              <w:suppressLineNumbers w:val="0"/>
              <w:ind w:firstLineChars="20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4</w:t>
            </w:r>
          </w:p>
        </w:tc>
        <w:tc>
          <w:tcPr>
            <w:tcW w:w="51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GNSS技术</w:t>
            </w:r>
          </w:p>
        </w:tc>
        <w:tc>
          <w:tcPr>
            <w:tcW w:w="3918" w:type="pct"/>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 xml:space="preserve">是使学生掌握GNSS 与控制测量的理论、技术与方法，能够独立利用现代技术手段和测量工具，建立控制网，为工程建设提供技术支持。能够使学生掌握各类控制网的布网、观测及数据处理，常规 RTK 测量方法及技能实践；能够熟练利用精密水准仪、全站仪、GPS接收机等仪器设备完成精密水准测量、三角高程测量、精密导线测量等测量工作，并掌握测量中的误差分析与处理；能够熟练利用各种应用数据处理软件进行测量数据的分析、处理和成果的检查验收，解决过程中坐标系的建立与转换问题。 </w:t>
            </w:r>
          </w:p>
        </w:tc>
        <w:tc>
          <w:tcPr>
            <w:tcW w:w="31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default" w:ascii="仿宋" w:hAnsi="仿宋" w:eastAsia="仿宋" w:cs="仿宋"/>
                <w:i w:val="0"/>
                <w:color w:val="000000"/>
                <w:kern w:val="0"/>
                <w:sz w:val="20"/>
                <w:szCs w:val="20"/>
                <w:u w:val="none"/>
                <w:lang w:val="en-US" w:eastAsia="zh-CN" w:bidi="ar"/>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4" w:hRule="atLeast"/>
        </w:trPr>
        <w:tc>
          <w:tcPr>
            <w:tcW w:w="382" w:type="pct"/>
            <w:noWrap w:val="0"/>
            <w:tcMar>
              <w:top w:w="15" w:type="dxa"/>
              <w:left w:w="15" w:type="dxa"/>
              <w:right w:w="15" w:type="dxa"/>
            </w:tcMar>
            <w:vAlign w:val="center"/>
          </w:tcPr>
          <w:p>
            <w:pPr>
              <w:keepNext w:val="0"/>
              <w:keepLines w:val="0"/>
              <w:widowControl/>
              <w:suppressLineNumbers w:val="0"/>
              <w:ind w:firstLineChars="20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5</w:t>
            </w:r>
          </w:p>
        </w:tc>
        <w:tc>
          <w:tcPr>
            <w:tcW w:w="51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土地管理信息系统</w:t>
            </w:r>
          </w:p>
        </w:tc>
        <w:tc>
          <w:tcPr>
            <w:tcW w:w="3918" w:type="pct"/>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使学生了解地土地信息系统的基本概念、技术和方法等基本知识，掌握土地信息系统原理、数据结构、分析模型及数据获取、处理、管理、检索、输出的方法与实现途径，以及如何利用多种 GIS 平台进行土地信息系统的设计与建立。其主要学习内容包括：土地管理信息系统的基本概念、数据结构、数据模型、数据采集方法、空间数据组织和管理技术、数据查询、空间分析技术、数据输出和质量控制、土地管理信息系统设计与开发、工程组织等。</w:t>
            </w:r>
          </w:p>
        </w:tc>
        <w:tc>
          <w:tcPr>
            <w:tcW w:w="31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default" w:ascii="仿宋" w:hAnsi="仿宋" w:eastAsia="仿宋" w:cs="仿宋"/>
                <w:i w:val="0"/>
                <w:color w:val="000000"/>
                <w:kern w:val="0"/>
                <w:sz w:val="20"/>
                <w:szCs w:val="20"/>
                <w:u w:val="none"/>
                <w:lang w:val="en-US" w:eastAsia="zh-CN" w:bidi="ar"/>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3" w:hRule="atLeast"/>
        </w:trPr>
        <w:tc>
          <w:tcPr>
            <w:tcW w:w="382" w:type="pct"/>
            <w:noWrap w:val="0"/>
            <w:tcMar>
              <w:top w:w="15" w:type="dxa"/>
              <w:left w:w="15" w:type="dxa"/>
              <w:right w:w="15" w:type="dxa"/>
            </w:tcMar>
            <w:vAlign w:val="center"/>
          </w:tcPr>
          <w:p>
            <w:pPr>
              <w:keepNext w:val="0"/>
              <w:keepLines w:val="0"/>
              <w:widowControl/>
              <w:suppressLineNumbers w:val="0"/>
              <w:ind w:firstLineChars="20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6</w:t>
            </w:r>
          </w:p>
        </w:tc>
        <w:tc>
          <w:tcPr>
            <w:tcW w:w="51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土地资源评价</w:t>
            </w:r>
          </w:p>
        </w:tc>
        <w:tc>
          <w:tcPr>
            <w:tcW w:w="3918" w:type="pct"/>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本课程的教学目标是通过学习使学生掌握土地调查与土地评价的基础理论，熟悉土地利用现状调查、土地类型调查、土地权属调查与土地质量调查技术，了解土地适宜性评价、土地潜力评价与土地经济评价体系，熟练运用土地调查理论与技术进行实地调查，运用土地评价方法进行实际案例分析，从而为土地规划及其各专业规划打好必要的方法论基础，为编制土地规划提供重要的科学依据，毕业后能承担各类土地调查、土地评价的理论研究和实际评价工作。主要学习内容包括：土地资源调查的基本内容和方法、土地类型调查、土地利用(现状)调查、土地资源的航空遥感调查方法、土地资源的卫星遥感调查方法、土地资源调查图的编制、面积量算与调查成果的整理验收、土地评价概述、土地质量评价、土地自然适宜性评价、土地生产潜力评价、土地经济评价、城市土地评价、土地评价信息系统</w:t>
            </w:r>
          </w:p>
        </w:tc>
        <w:tc>
          <w:tcPr>
            <w:tcW w:w="31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default" w:ascii="仿宋" w:hAnsi="仿宋" w:eastAsia="仿宋" w:cs="仿宋"/>
                <w:i w:val="0"/>
                <w:color w:val="000000"/>
                <w:kern w:val="0"/>
                <w:sz w:val="20"/>
                <w:szCs w:val="20"/>
                <w:u w:val="none"/>
                <w:lang w:val="en-US" w:eastAsia="zh-CN" w:bidi="ar"/>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8" w:hRule="atLeast"/>
        </w:trPr>
        <w:tc>
          <w:tcPr>
            <w:tcW w:w="382" w:type="pct"/>
            <w:noWrap w:val="0"/>
            <w:tcMar>
              <w:top w:w="15" w:type="dxa"/>
              <w:left w:w="15" w:type="dxa"/>
              <w:right w:w="15" w:type="dxa"/>
            </w:tcMar>
            <w:vAlign w:val="center"/>
          </w:tcPr>
          <w:p>
            <w:pPr>
              <w:keepNext w:val="0"/>
              <w:keepLines w:val="0"/>
              <w:widowControl/>
              <w:suppressLineNumbers w:val="0"/>
              <w:ind w:firstLineChars="20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7</w:t>
            </w:r>
          </w:p>
        </w:tc>
        <w:tc>
          <w:tcPr>
            <w:tcW w:w="517" w:type="pc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土地利用规划</w:t>
            </w:r>
          </w:p>
        </w:tc>
        <w:tc>
          <w:tcPr>
            <w:tcW w:w="3918" w:type="pct"/>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highlight w:val="none"/>
                <w:u w:val="none"/>
              </w:rPr>
            </w:pPr>
            <w:r>
              <w:rPr>
                <w:rFonts w:hint="eastAsia" w:ascii="仿宋" w:hAnsi="仿宋" w:eastAsia="仿宋" w:cs="仿宋"/>
                <w:i w:val="0"/>
                <w:color w:val="000000"/>
                <w:kern w:val="0"/>
                <w:sz w:val="20"/>
                <w:szCs w:val="20"/>
                <w:highlight w:val="none"/>
                <w:u w:val="none"/>
                <w:lang w:val="en-US" w:eastAsia="zh-CN" w:bidi="ar"/>
              </w:rPr>
              <w:t>是使学生通过学习、实践，掌握土地利用规划的基本理论、内容和方法，学会如何根据区域经济发展和市场对各种生物产品的需求，以及土地的自然、经济特性，在时空上进行土地资源分配、科学地编制土地利用规划和安排各业土地利用；其主要学习内容包括：土地利用规划的理论和原则、土地利用总体规划概述、土地利用现状分析与规划后评价、土地利用战略研究、土地资源质量评价、规划基础数据预测、土地供需预测、土地利用结构与布局、土地利用详细规划和专项规划等。</w:t>
            </w:r>
          </w:p>
        </w:tc>
        <w:tc>
          <w:tcPr>
            <w:tcW w:w="31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highlight w:val="none"/>
                <w:u w:val="none"/>
              </w:rPr>
            </w:pPr>
            <w:r>
              <w:rPr>
                <w:rFonts w:hint="default" w:ascii="仿宋" w:hAnsi="仿宋" w:eastAsia="仿宋" w:cs="仿宋"/>
                <w:i w:val="0"/>
                <w:color w:val="000000"/>
                <w:kern w:val="0"/>
                <w:sz w:val="20"/>
                <w:szCs w:val="20"/>
                <w:u w:val="none"/>
                <w:lang w:val="en-US" w:eastAsia="zh-CN" w:bidi="ar"/>
              </w:rPr>
              <w:t>132</w:t>
            </w:r>
          </w:p>
        </w:tc>
      </w:tr>
    </w:tbl>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602" w:firstLineChars="200"/>
        <w:jc w:val="left"/>
        <w:textAlignment w:val="auto"/>
        <w:outlineLvl w:val="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教学计划进度表（以周为单位）</w:t>
      </w:r>
    </w:p>
    <w:tbl>
      <w:tblPr>
        <w:tblStyle w:val="11"/>
        <w:tblW w:w="9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417"/>
        <w:gridCol w:w="417"/>
        <w:gridCol w:w="417"/>
        <w:gridCol w:w="417"/>
        <w:gridCol w:w="417"/>
        <w:gridCol w:w="417"/>
        <w:gridCol w:w="417"/>
        <w:gridCol w:w="417"/>
        <w:gridCol w:w="417"/>
        <w:gridCol w:w="418"/>
        <w:gridCol w:w="418"/>
        <w:gridCol w:w="418"/>
        <w:gridCol w:w="418"/>
        <w:gridCol w:w="418"/>
        <w:gridCol w:w="418"/>
        <w:gridCol w:w="418"/>
        <w:gridCol w:w="418"/>
        <w:gridCol w:w="418"/>
        <w:gridCol w:w="418"/>
        <w:gridCol w:w="418"/>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26" w:type="pct"/>
            <w:vMerge w:val="restar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学期</w:t>
            </w:r>
          </w:p>
        </w:tc>
        <w:tc>
          <w:tcPr>
            <w:tcW w:w="4773" w:type="pct"/>
            <w:gridSpan w:val="21"/>
            <w:noWrap w:val="0"/>
            <w:vAlign w:val="center"/>
          </w:tcPr>
          <w:p>
            <w:pPr>
              <w:tabs>
                <w:tab w:val="left" w:pos="3120"/>
              </w:tabs>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周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6" w:type="pct"/>
            <w:vMerge w:val="continue"/>
            <w:noWrap w:val="0"/>
            <w:vAlign w:val="center"/>
          </w:tcPr>
          <w:p>
            <w:pPr>
              <w:spacing w:after="150" w:line="300" w:lineRule="auto"/>
              <w:jc w:val="center"/>
              <w:outlineLvl w:val="0"/>
              <w:rPr>
                <w:rFonts w:ascii="仿宋" w:hAnsi="仿宋" w:eastAsia="仿宋" w:cs="宋体"/>
                <w:b/>
                <w:bCs/>
                <w:kern w:val="0"/>
                <w:sz w:val="20"/>
                <w:szCs w:val="20"/>
                <w:highlight w:val="none"/>
              </w:rPr>
            </w:pP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1</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2</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3</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4</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5</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6</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7</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8</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9</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10</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11</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12</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13</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14</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15</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16</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17</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18</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19</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20</w:t>
            </w:r>
          </w:p>
        </w:tc>
        <w:tc>
          <w:tcPr>
            <w:tcW w:w="244"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1</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44"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2</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44"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3</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44"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4</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44"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5</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44"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6</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26"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w:t>
            </w:r>
          </w:p>
        </w:tc>
        <w:tc>
          <w:tcPr>
            <w:tcW w:w="244" w:type="pct"/>
            <w:noWrap w:val="0"/>
            <w:vAlign w:val="center"/>
          </w:tcPr>
          <w:p>
            <w:pPr>
              <w:spacing w:after="150" w:line="300" w:lineRule="auto"/>
              <w:jc w:val="center"/>
              <w:outlineLvl w:val="0"/>
              <w:rPr>
                <w:rFonts w:ascii="仿宋" w:hAnsi="仿宋" w:eastAsia="仿宋" w:cs="宋体"/>
                <w:b/>
                <w:bCs/>
                <w:kern w:val="0"/>
                <w:sz w:val="20"/>
                <w:szCs w:val="20"/>
                <w:highlight w:val="none"/>
              </w:rPr>
            </w:pPr>
            <w:r>
              <w:rPr>
                <w:rFonts w:hint="eastAsia" w:ascii="仿宋" w:hAnsi="仿宋" w:eastAsia="仿宋" w:cs="宋体"/>
                <w:b/>
                <w:bCs/>
                <w:kern w:val="0"/>
                <w:sz w:val="20"/>
                <w:szCs w:val="20"/>
                <w:highlight w:val="none"/>
              </w:rPr>
              <w:t>8周</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eastAsia" w:ascii="仿宋" w:hAnsi="仿宋" w:eastAsia="仿宋"/>
          <w:sz w:val="24"/>
          <w:szCs w:val="24"/>
        </w:rPr>
      </w:pPr>
      <w:r>
        <w:rPr>
          <w:rFonts w:hint="eastAsia" w:ascii="仿宋" w:hAnsi="仿宋" w:eastAsia="仿宋"/>
          <w:sz w:val="24"/>
          <w:szCs w:val="24"/>
        </w:rPr>
        <w:t>〓：军训及入学教育  √：课堂教学  ▲：复习考试  ◎：顶岗实习   ●：毕业考核</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602" w:firstLineChars="200"/>
        <w:jc w:val="left"/>
        <w:textAlignment w:val="auto"/>
        <w:outlineLvl w:val="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教学进程总体安排</w:t>
      </w:r>
    </w:p>
    <w:tbl>
      <w:tblPr>
        <w:tblStyle w:val="11"/>
        <w:tblW w:w="4997" w:type="pct"/>
        <w:tblInd w:w="0" w:type="dxa"/>
        <w:tblLayout w:type="autofit"/>
        <w:tblCellMar>
          <w:top w:w="0" w:type="dxa"/>
          <w:left w:w="0" w:type="dxa"/>
          <w:bottom w:w="0" w:type="dxa"/>
          <w:right w:w="0" w:type="dxa"/>
        </w:tblCellMar>
      </w:tblPr>
      <w:tblGrid>
        <w:gridCol w:w="210"/>
        <w:gridCol w:w="296"/>
        <w:gridCol w:w="1153"/>
        <w:gridCol w:w="429"/>
        <w:gridCol w:w="390"/>
        <w:gridCol w:w="561"/>
        <w:gridCol w:w="821"/>
        <w:gridCol w:w="314"/>
        <w:gridCol w:w="298"/>
        <w:gridCol w:w="496"/>
        <w:gridCol w:w="299"/>
        <w:gridCol w:w="497"/>
        <w:gridCol w:w="299"/>
        <w:gridCol w:w="322"/>
        <w:gridCol w:w="562"/>
        <w:gridCol w:w="562"/>
        <w:gridCol w:w="822"/>
      </w:tblGrid>
      <w:tr>
        <w:tblPrEx>
          <w:tblCellMar>
            <w:top w:w="0" w:type="dxa"/>
            <w:left w:w="0" w:type="dxa"/>
            <w:bottom w:w="0" w:type="dxa"/>
            <w:right w:w="0" w:type="dxa"/>
          </w:tblCellMar>
        </w:tblPrEx>
        <w:trPr>
          <w:trHeight w:val="284" w:hRule="atLeast"/>
        </w:trPr>
        <w:tc>
          <w:tcPr>
            <w:tcW w:w="11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类</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别</w:t>
            </w:r>
          </w:p>
        </w:tc>
        <w:tc>
          <w:tcPr>
            <w:tcW w:w="18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序号</w:t>
            </w:r>
          </w:p>
        </w:tc>
        <w:tc>
          <w:tcPr>
            <w:tcW w:w="69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课程名称</w:t>
            </w:r>
          </w:p>
        </w:tc>
        <w:tc>
          <w:tcPr>
            <w:tcW w:w="1500"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学时数</w:t>
            </w:r>
          </w:p>
        </w:tc>
        <w:tc>
          <w:tcPr>
            <w:tcW w:w="1338"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各学期周学时安排</w:t>
            </w:r>
          </w:p>
        </w:tc>
        <w:tc>
          <w:tcPr>
            <w:tcW w:w="33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考试学期</w:t>
            </w:r>
          </w:p>
        </w:tc>
        <w:tc>
          <w:tcPr>
            <w:tcW w:w="33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考查学期</w:t>
            </w:r>
          </w:p>
        </w:tc>
        <w:tc>
          <w:tcPr>
            <w:tcW w:w="49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职业资格证书</w:t>
            </w:r>
          </w:p>
        </w:tc>
      </w:tr>
      <w:tr>
        <w:tblPrEx>
          <w:tblCellMar>
            <w:top w:w="0" w:type="dxa"/>
            <w:left w:w="0" w:type="dxa"/>
            <w:bottom w:w="0" w:type="dxa"/>
            <w:right w:w="0" w:type="dxa"/>
          </w:tblCellMar>
        </w:tblPrEx>
        <w:trPr>
          <w:trHeight w:val="284"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69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26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总学时</w:t>
            </w:r>
          </w:p>
        </w:tc>
        <w:tc>
          <w:tcPr>
            <w:tcW w:w="215"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讲授</w:t>
            </w:r>
          </w:p>
        </w:tc>
        <w:tc>
          <w:tcPr>
            <w:tcW w:w="33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实验实习</w:t>
            </w:r>
          </w:p>
        </w:tc>
        <w:tc>
          <w:tcPr>
            <w:tcW w:w="49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讨论调查练习</w:t>
            </w:r>
          </w:p>
        </w:tc>
        <w:tc>
          <w:tcPr>
            <w:tcW w:w="18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机动</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一</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二</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三</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四</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五</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六</w:t>
            </w:r>
          </w:p>
        </w:tc>
        <w:tc>
          <w:tcPr>
            <w:tcW w:w="33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28"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69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26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215"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17周</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19周</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19周</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19周</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14周</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17周</w:t>
            </w:r>
          </w:p>
        </w:tc>
        <w:tc>
          <w:tcPr>
            <w:tcW w:w="33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公</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共</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必</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修</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课</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程</w:t>
            </w: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职业生涯规划</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34</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26</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8</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28"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职业道德与法律</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38</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8</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28"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经济政治与社会</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38</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8</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哲学与人生</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38</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8</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语文</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127</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110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17</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数学</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127</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110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17</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7</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英语</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127</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110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17</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8</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历史</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72</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28"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9</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计算机应用基础</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19</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10</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体育与健康</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148</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100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48</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1-4</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11</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艺术</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76</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38</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38</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2-3</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4"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仿宋" w:hAnsi="仿宋" w:eastAsia="仿宋" w:cs="仿宋"/>
                <w:i w:val="0"/>
                <w:color w:val="auto"/>
                <w:sz w:val="18"/>
                <w:szCs w:val="18"/>
                <w:u w:val="none"/>
              </w:rPr>
            </w:pPr>
          </w:p>
        </w:tc>
        <w:tc>
          <w:tcPr>
            <w:tcW w:w="87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公共必修课程</w:t>
            </w:r>
            <w:r>
              <w:rPr>
                <w:rFonts w:hint="eastAsia" w:ascii="华文仿宋" w:hAnsi="华文仿宋" w:eastAsia="华文仿宋" w:cs="华文仿宋"/>
                <w:i w:val="0"/>
                <w:color w:val="auto"/>
                <w:kern w:val="0"/>
                <w:sz w:val="18"/>
                <w:szCs w:val="18"/>
                <w:u w:val="none"/>
                <w:lang w:val="en-US" w:eastAsia="zh-CN" w:bidi="ar"/>
              </w:rPr>
              <w:t>小</w:t>
            </w:r>
            <w:r>
              <w:rPr>
                <w:rFonts w:hint="default" w:ascii="仿宋" w:hAnsi="仿宋" w:eastAsia="仿宋" w:cs="仿宋"/>
                <w:i w:val="0"/>
                <w:color w:val="auto"/>
                <w:kern w:val="0"/>
                <w:sz w:val="18"/>
                <w:szCs w:val="18"/>
                <w:u w:val="none"/>
                <w:lang w:val="en-US" w:eastAsia="zh-CN" w:bidi="ar"/>
              </w:rPr>
              <w:t>计</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876</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663</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181</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18</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20</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28" w:hRule="atLeast"/>
        </w:trPr>
        <w:tc>
          <w:tcPr>
            <w:tcW w:w="11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专</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业</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基</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础</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平</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台</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课</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程</w:t>
            </w: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计算机制图（CAD）</w:t>
            </w:r>
          </w:p>
        </w:tc>
        <w:tc>
          <w:tcPr>
            <w:tcW w:w="260"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68</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36</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测量学</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127</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63</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64</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10</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土地资源学</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144</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124</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20</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28"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土地管理与实务</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127</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100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27</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53"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87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专业基础平台课程小计</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466</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323</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96</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57</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14</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专</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业</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核</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心</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课</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程</w:t>
            </w: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地籍测绘</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57</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25</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不动产估价</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123</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100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23</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房产测绘</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123</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59</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64</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GNSS技术</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175</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79</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96</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28"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土地管理信息系统</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170</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74</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96</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土地资源评价</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132</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68</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64</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4-5</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7</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土地利用规划</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132</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68</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64</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4-5</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4"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87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专业核心课程小计</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912</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473</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416</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23</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18</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19</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选</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修</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课</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程</w:t>
            </w: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心理健康教育</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38</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8</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社交礼仪</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38</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8</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安全教育</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28</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 xml:space="preserve"> </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8</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时事政策教育</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66</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20</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4-5</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文学欣赏</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38</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8</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测绘法规</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57</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17</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40"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7</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数据采集与制图技术</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56</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24</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auto"/>
                <w:sz w:val="21"/>
                <w:szCs w:val="21"/>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4-5</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8</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工程测量</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57</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25</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9</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建设用地管理</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66</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4-5</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28"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10</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航空摄影测量学</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118</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86</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4-5</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4"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87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选修课程小计</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562</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385</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96</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75</w:t>
            </w: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10</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10</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13</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28" w:hRule="atLeast"/>
        </w:trPr>
        <w:tc>
          <w:tcPr>
            <w:tcW w:w="11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技</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能</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实</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训</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课</w:t>
            </w:r>
            <w:r>
              <w:rPr>
                <w:rFonts w:hint="default" w:ascii="仿宋" w:hAnsi="仿宋" w:eastAsia="仿宋" w:cs="仿宋"/>
                <w:i w:val="0"/>
                <w:color w:val="auto"/>
                <w:kern w:val="0"/>
                <w:sz w:val="18"/>
                <w:szCs w:val="18"/>
                <w:u w:val="none"/>
                <w:lang w:val="en-US" w:eastAsia="zh-CN" w:bidi="ar"/>
              </w:rPr>
              <w:br w:type="textWrapping"/>
            </w:r>
            <w:r>
              <w:rPr>
                <w:rFonts w:hint="default" w:ascii="仿宋" w:hAnsi="仿宋" w:eastAsia="仿宋" w:cs="仿宋"/>
                <w:i w:val="0"/>
                <w:color w:val="auto"/>
                <w:kern w:val="0"/>
                <w:sz w:val="18"/>
                <w:szCs w:val="18"/>
                <w:u w:val="none"/>
                <w:lang w:val="en-US" w:eastAsia="zh-CN" w:bidi="ar"/>
              </w:rPr>
              <w:t>程</w:t>
            </w: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计算机应用基础</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28"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计算机制图（CAD）</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测量学实习</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64</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地籍测绘实习</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房产测绘实习</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64</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4-5</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GNSS实习</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96</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3-5</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40"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7</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土地管理信息系统实习</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96</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3-5</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28"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8</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土地资源评价实习</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64</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4-5</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28"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9</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土地利用规划实习</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64</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4-5</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40"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10</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数据采集与制图技术</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 xml:space="preserve"> </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57"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11</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工程测量</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40"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航空摄影测量学实习</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4" w:hRule="atLeast"/>
        </w:trPr>
        <w:tc>
          <w:tcPr>
            <w:tcW w:w="11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87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技能实训课程小计</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640</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3周</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4周</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5周</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7周</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28" w:hRule="atLeast"/>
        </w:trPr>
        <w:tc>
          <w:tcPr>
            <w:tcW w:w="987"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顶岗实习</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704</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5周</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17周</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5-6</w:t>
            </w: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84" w:hRule="atLeast"/>
        </w:trPr>
        <w:tc>
          <w:tcPr>
            <w:tcW w:w="987"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周学时数</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466" w:hRule="atLeast"/>
        </w:trPr>
        <w:tc>
          <w:tcPr>
            <w:tcW w:w="987"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军训入学教育、毕业考核、复习考试</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10周</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3周</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1周</w:t>
            </w: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3周</w:t>
            </w: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r>
      <w:tr>
        <w:tblPrEx>
          <w:tblCellMar>
            <w:top w:w="0" w:type="dxa"/>
            <w:left w:w="0" w:type="dxa"/>
            <w:bottom w:w="0" w:type="dxa"/>
            <w:right w:w="0" w:type="dxa"/>
          </w:tblCellMar>
        </w:tblPrEx>
        <w:trPr>
          <w:trHeight w:val="292" w:hRule="atLeast"/>
        </w:trPr>
        <w:tc>
          <w:tcPr>
            <w:tcW w:w="987"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总学时数</w:t>
            </w:r>
          </w:p>
        </w:tc>
        <w:tc>
          <w:tcPr>
            <w:tcW w:w="2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3840</w:t>
            </w:r>
          </w:p>
        </w:tc>
        <w:tc>
          <w:tcPr>
            <w:tcW w:w="2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19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3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auto"/>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1"/>
                <w:szCs w:val="21"/>
                <w:u w:val="none"/>
              </w:rPr>
            </w:pPr>
          </w:p>
        </w:tc>
      </w:tr>
    </w:tbl>
    <w:p>
      <w:pPr>
        <w:rPr>
          <w:rFonts w:ascii="宋体" w:hAnsi="宋体" w:cs="宋体"/>
          <w:b/>
          <w:sz w:val="30"/>
          <w:szCs w:val="30"/>
        </w:rPr>
      </w:pPr>
      <w:bookmarkStart w:id="0" w:name="_Hlk59043218"/>
      <w:bookmarkStart w:id="1" w:name="_Hlk58662011"/>
      <w:r>
        <w:rPr>
          <w:rFonts w:hint="eastAsia" w:ascii="宋体" w:hAnsi="宋体" w:cs="宋体"/>
          <w:b/>
          <w:sz w:val="30"/>
          <w:szCs w:val="30"/>
        </w:rPr>
        <w:t>十一、教学实施</w:t>
      </w:r>
    </w:p>
    <w:bookmarkEnd w:id="0"/>
    <w:p>
      <w:pPr>
        <w:ind w:firstLine="600" w:firstLineChars="200"/>
        <w:rPr>
          <w:rFonts w:ascii="仿宋" w:hAnsi="仿宋" w:eastAsia="仿宋" w:cs="仿宋"/>
          <w:sz w:val="30"/>
          <w:szCs w:val="30"/>
        </w:rPr>
      </w:pPr>
      <w:r>
        <w:rPr>
          <w:rFonts w:hint="eastAsia" w:ascii="仿宋" w:hAnsi="仿宋" w:eastAsia="仿宋" w:cs="仿宋"/>
          <w:sz w:val="30"/>
          <w:szCs w:val="30"/>
        </w:rPr>
        <w:t>（一）教学要求</w:t>
      </w:r>
    </w:p>
    <w:p>
      <w:pPr>
        <w:ind w:firstLine="600" w:firstLineChars="200"/>
        <w:rPr>
          <w:rFonts w:ascii="仿宋" w:hAnsi="仿宋" w:eastAsia="仿宋" w:cs="仿宋"/>
          <w:sz w:val="30"/>
          <w:szCs w:val="30"/>
        </w:rPr>
      </w:pPr>
      <w:r>
        <w:rPr>
          <w:rFonts w:hint="eastAsia" w:ascii="仿宋" w:hAnsi="仿宋" w:eastAsia="仿宋" w:cs="仿宋"/>
          <w:sz w:val="30"/>
          <w:szCs w:val="30"/>
        </w:rPr>
        <w:t>1.公共基础课</w:t>
      </w:r>
    </w:p>
    <w:p>
      <w:pPr>
        <w:ind w:firstLine="600" w:firstLineChars="200"/>
        <w:rPr>
          <w:rFonts w:ascii="仿宋" w:hAnsi="仿宋" w:eastAsia="仿宋" w:cs="仿宋"/>
          <w:sz w:val="30"/>
          <w:szCs w:val="30"/>
        </w:rPr>
      </w:pPr>
      <w:r>
        <w:rPr>
          <w:rFonts w:hint="eastAsia" w:ascii="仿宋" w:hAnsi="仿宋" w:eastAsia="仿宋" w:cs="仿宋"/>
          <w:sz w:val="30"/>
          <w:szCs w:val="30"/>
        </w:rPr>
        <w:t>公共基础课的教学要符合教育部有关教育教学的基本要求，按照培养学生基本科学文化素养、服务学生专业学习和终身发展功能来定位，重在教学方法、教学组织形式的改革，教学手段、教学模式的创新、调动学生学习的积极性，为学生综合素质的提高、职业能力的形成和可持续发展奠定基础。</w:t>
      </w:r>
    </w:p>
    <w:p>
      <w:pPr>
        <w:ind w:firstLine="600" w:firstLineChars="200"/>
        <w:rPr>
          <w:rFonts w:ascii="仿宋" w:hAnsi="仿宋" w:eastAsia="仿宋" w:cs="仿宋"/>
          <w:sz w:val="30"/>
          <w:szCs w:val="30"/>
        </w:rPr>
      </w:pPr>
      <w:r>
        <w:rPr>
          <w:rFonts w:hint="eastAsia" w:ascii="仿宋" w:hAnsi="仿宋" w:eastAsia="仿宋" w:cs="仿宋"/>
          <w:sz w:val="30"/>
          <w:szCs w:val="30"/>
        </w:rPr>
        <w:t>2.专业技能课</w:t>
      </w:r>
    </w:p>
    <w:p>
      <w:pPr>
        <w:ind w:firstLine="600" w:firstLineChars="200"/>
        <w:rPr>
          <w:rFonts w:ascii="仿宋" w:hAnsi="仿宋" w:eastAsia="仿宋" w:cs="仿宋"/>
          <w:sz w:val="30"/>
          <w:szCs w:val="30"/>
        </w:rPr>
      </w:pPr>
      <w:r>
        <w:rPr>
          <w:rFonts w:hint="eastAsia" w:ascii="仿宋" w:hAnsi="仿宋" w:eastAsia="仿宋" w:cs="仿宋"/>
          <w:sz w:val="30"/>
          <w:szCs w:val="30"/>
        </w:rPr>
        <w:t>专业技能课的教学要以职业能力的培养为目标，充分利用校内实训实习室、校外实训实习基地、企业顶岗实习、职业资格认证等，强化职业技能，形成“课程与工作任务结合、课堂与技能结合、教学与情境结合、实训与岗位结合”的教学模式，采用项目导向、任务驱动、现场教学、案例教学、探究式教学、角色扮演、情境教学等方法，创新课堂教学，突出“做中学、做中教”的职业教育特色。</w:t>
      </w:r>
    </w:p>
    <w:p>
      <w:pPr>
        <w:ind w:firstLine="600" w:firstLineChars="200"/>
        <w:rPr>
          <w:rFonts w:ascii="仿宋" w:hAnsi="仿宋" w:eastAsia="仿宋" w:cs="仿宋"/>
          <w:sz w:val="30"/>
          <w:szCs w:val="30"/>
        </w:rPr>
      </w:pPr>
      <w:r>
        <w:rPr>
          <w:rFonts w:hint="eastAsia" w:ascii="仿宋" w:hAnsi="仿宋" w:eastAsia="仿宋" w:cs="仿宋"/>
          <w:sz w:val="30"/>
          <w:szCs w:val="30"/>
        </w:rPr>
        <w:t>（二）教学管理</w:t>
      </w:r>
    </w:p>
    <w:p>
      <w:pPr>
        <w:ind w:firstLine="600" w:firstLineChars="200"/>
        <w:rPr>
          <w:rFonts w:ascii="仿宋" w:hAnsi="仿宋" w:eastAsia="仿宋" w:cs="仿宋"/>
          <w:sz w:val="30"/>
          <w:szCs w:val="30"/>
        </w:rPr>
      </w:pPr>
      <w:r>
        <w:rPr>
          <w:rFonts w:hint="eastAsia" w:ascii="仿宋" w:hAnsi="仿宋" w:eastAsia="仿宋" w:cs="仿宋"/>
          <w:sz w:val="30"/>
          <w:szCs w:val="30"/>
        </w:rPr>
        <w:t>教学管理要更新观念，改变传统的教学管理方式。教学管理要有一定的规范性和灵活性与可实行工学交替等弹性学制。要合理调配专业教师、专业实训室和实训场地等教学资源，为课程的实施创造条件；要加强对教学过程的质量监控，改革教学评价的标准和方法，促进教师教学能力的提升，保证教学质量。</w:t>
      </w:r>
    </w:p>
    <w:p>
      <w:pPr>
        <w:rPr>
          <w:rFonts w:ascii="宋体" w:hAnsi="宋体" w:cs="宋体"/>
          <w:b/>
          <w:sz w:val="30"/>
          <w:szCs w:val="30"/>
        </w:rPr>
      </w:pPr>
      <w:r>
        <w:rPr>
          <w:rFonts w:hint="eastAsia" w:ascii="宋体" w:hAnsi="宋体" w:cs="宋体"/>
          <w:b/>
          <w:sz w:val="30"/>
          <w:szCs w:val="30"/>
        </w:rPr>
        <w:t>十二、教学评价</w:t>
      </w:r>
    </w:p>
    <w:p>
      <w:pPr>
        <w:ind w:firstLine="600" w:firstLineChars="200"/>
        <w:rPr>
          <w:rFonts w:ascii="仿宋" w:hAnsi="仿宋" w:eastAsia="仿宋" w:cs="仿宋"/>
          <w:sz w:val="30"/>
          <w:szCs w:val="30"/>
        </w:rPr>
      </w:pPr>
      <w:r>
        <w:rPr>
          <w:rFonts w:hint="eastAsia" w:ascii="仿宋" w:hAnsi="仿宋" w:eastAsia="仿宋" w:cs="仿宋"/>
          <w:sz w:val="30"/>
          <w:szCs w:val="30"/>
        </w:rPr>
        <w:t>教学评价包括课程评价和实训实习评价。</w:t>
      </w:r>
    </w:p>
    <w:p>
      <w:pPr>
        <w:ind w:firstLine="600" w:firstLineChars="200"/>
        <w:rPr>
          <w:rFonts w:ascii="仿宋" w:hAnsi="仿宋" w:eastAsia="仿宋" w:cs="仿宋"/>
          <w:sz w:val="30"/>
          <w:szCs w:val="30"/>
        </w:rPr>
      </w:pPr>
      <w:r>
        <w:rPr>
          <w:rFonts w:hint="eastAsia" w:ascii="仿宋" w:hAnsi="仿宋" w:eastAsia="仿宋" w:cs="仿宋"/>
          <w:sz w:val="30"/>
          <w:szCs w:val="30"/>
        </w:rPr>
        <w:t>课程评价采用过程性考核、结业考核和证书置换相结合的方式。公共基础课和专业技能课的过程性考核以项目或模块为单位进行,考核依据是出勤、纪律、活动准备、情感态度、笔记、技能考核、项目内容测试等。结业考核通过集中考试进行，采用笔试、调查报告、心得体会、论文写作及现场操作等考核形式。</w:t>
      </w:r>
    </w:p>
    <w:p>
      <w:pPr>
        <w:ind w:firstLine="600" w:firstLineChars="200"/>
        <w:rPr>
          <w:rFonts w:ascii="仿宋" w:hAnsi="仿宋" w:eastAsia="仿宋" w:cs="仿宋"/>
          <w:sz w:val="30"/>
          <w:szCs w:val="30"/>
        </w:rPr>
      </w:pPr>
      <w:r>
        <w:rPr>
          <w:rFonts w:hint="eastAsia" w:ascii="仿宋" w:hAnsi="仿宋" w:eastAsia="仿宋" w:cs="仿宋"/>
          <w:sz w:val="30"/>
          <w:szCs w:val="30"/>
        </w:rPr>
        <w:t>此外，还采用证书置换的方式进行课程评价。</w:t>
      </w:r>
    </w:p>
    <w:p>
      <w:pPr>
        <w:ind w:firstLine="600" w:firstLineChars="200"/>
        <w:rPr>
          <w:rFonts w:ascii="仿宋" w:hAnsi="仿宋" w:eastAsia="仿宋" w:cs="仿宋"/>
          <w:sz w:val="30"/>
          <w:szCs w:val="30"/>
        </w:rPr>
      </w:pPr>
      <w:r>
        <w:rPr>
          <w:rFonts w:hint="eastAsia" w:ascii="仿宋" w:hAnsi="仿宋" w:eastAsia="仿宋" w:cs="仿宋"/>
          <w:sz w:val="30"/>
          <w:szCs w:val="30"/>
        </w:rPr>
        <w:t>实训实习评价包括校内综合实训评价和顶岗实习评价。校内综合实训评价以技能考核成果的数量、质量及表现为主，采用自我评价、小组评价和教师评价相结合的方式。项岗实习评价采用企业指导教师与校内指导教师考核相结合的方式，从日常表现、知识与技能的掌握程度、成果质量、实习报告、过程记录资料等进行考核。</w:t>
      </w:r>
    </w:p>
    <w:p>
      <w:pPr>
        <w:rPr>
          <w:rFonts w:ascii="宋体" w:hAnsi="宋体" w:cs="宋体"/>
          <w:b/>
          <w:sz w:val="30"/>
          <w:szCs w:val="30"/>
        </w:rPr>
      </w:pPr>
      <w:r>
        <w:rPr>
          <w:rFonts w:ascii="宋体" w:hAnsi="宋体" w:cs="宋体"/>
          <w:b/>
          <w:sz w:val="30"/>
          <w:szCs w:val="30"/>
        </w:rPr>
        <w:t>十</w:t>
      </w:r>
      <w:r>
        <w:rPr>
          <w:rFonts w:hint="eastAsia" w:ascii="宋体" w:hAnsi="宋体" w:cs="宋体"/>
          <w:b/>
          <w:sz w:val="30"/>
          <w:szCs w:val="30"/>
        </w:rPr>
        <w:t>三、实习实训环境</w:t>
      </w:r>
    </w:p>
    <w:p>
      <w:pPr>
        <w:spacing w:line="360" w:lineRule="auto"/>
        <w:rPr>
          <w:rFonts w:ascii="宋体" w:hAnsi="宋体" w:cs="宋体"/>
          <w:b/>
          <w:sz w:val="30"/>
          <w:szCs w:val="30"/>
        </w:rPr>
      </w:pPr>
      <w:r>
        <w:rPr>
          <w:rFonts w:hint="eastAsia" w:ascii="宋体" w:hAnsi="宋体" w:cs="宋体"/>
          <w:b/>
          <w:sz w:val="30"/>
          <w:szCs w:val="30"/>
        </w:rPr>
        <w:t>(一)校内实训室</w:t>
      </w:r>
    </w:p>
    <w:p>
      <w:pPr>
        <w:spacing w:line="360" w:lineRule="auto"/>
        <w:rPr>
          <w:rFonts w:ascii="宋体" w:hAnsi="宋体" w:cs="宋体"/>
          <w:b/>
          <w:bCs/>
          <w:sz w:val="30"/>
          <w:szCs w:val="30"/>
        </w:rPr>
      </w:pPr>
      <w:r>
        <w:rPr>
          <w:rFonts w:hint="eastAsia" w:ascii="宋体" w:hAnsi="宋体" w:cs="宋体"/>
          <w:b/>
          <w:bCs/>
          <w:sz w:val="30"/>
          <w:szCs w:val="30"/>
        </w:rPr>
        <w:t>1、计算机设备</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12"/>
        <w:gridCol w:w="2229"/>
        <w:gridCol w:w="4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7" w:type="pct"/>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序号</w:t>
            </w:r>
          </w:p>
        </w:tc>
        <w:tc>
          <w:tcPr>
            <w:tcW w:w="1337" w:type="pct"/>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实验实训室</w:t>
            </w:r>
          </w:p>
        </w:tc>
        <w:tc>
          <w:tcPr>
            <w:tcW w:w="2634" w:type="pct"/>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主要设备设施及数量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7" w:type="pct"/>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w:t>
            </w:r>
          </w:p>
        </w:tc>
        <w:tc>
          <w:tcPr>
            <w:tcW w:w="1337"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01机房</w:t>
            </w:r>
          </w:p>
        </w:tc>
        <w:tc>
          <w:tcPr>
            <w:tcW w:w="2634"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计算机61台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7" w:type="pct"/>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w:t>
            </w:r>
          </w:p>
        </w:tc>
        <w:tc>
          <w:tcPr>
            <w:tcW w:w="1337"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02机房</w:t>
            </w:r>
          </w:p>
        </w:tc>
        <w:tc>
          <w:tcPr>
            <w:tcW w:w="2634" w:type="pct"/>
            <w:noWrap/>
            <w:tcMar>
              <w:top w:w="15" w:type="dxa"/>
              <w:left w:w="15" w:type="dxa"/>
              <w:right w:w="15" w:type="dxa"/>
            </w:tcMar>
            <w:vAlign w:val="center"/>
          </w:tcPr>
          <w:p>
            <w:pPr>
              <w:jc w:val="center"/>
              <w:rPr>
                <w:rFonts w:ascii="仿宋" w:hAnsi="仿宋" w:eastAsia="仿宋" w:cs="仿宋"/>
                <w:kern w:val="0"/>
                <w:sz w:val="24"/>
                <w:lang w:bidi="ar"/>
              </w:rPr>
            </w:pPr>
            <w:r>
              <w:rPr>
                <w:rFonts w:hint="eastAsia" w:ascii="仿宋" w:hAnsi="仿宋" w:eastAsia="仿宋" w:cs="仿宋"/>
                <w:color w:val="000000"/>
                <w:kern w:val="0"/>
                <w:sz w:val="24"/>
                <w:lang w:bidi="ar"/>
              </w:rPr>
              <w:t>计算机</w:t>
            </w:r>
            <w:r>
              <w:rPr>
                <w:rFonts w:hint="eastAsia" w:ascii="仿宋" w:hAnsi="仿宋" w:eastAsia="仿宋" w:cs="仿宋"/>
                <w:color w:val="000000"/>
                <w:sz w:val="24"/>
              </w:rPr>
              <w:t>62</w:t>
            </w:r>
            <w:r>
              <w:rPr>
                <w:rFonts w:hint="eastAsia" w:ascii="仿宋" w:hAnsi="仿宋" w:eastAsia="仿宋" w:cs="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 w:hRule="atLeast"/>
          <w:jc w:val="center"/>
        </w:trPr>
        <w:tc>
          <w:tcPr>
            <w:tcW w:w="1027" w:type="pct"/>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3</w:t>
            </w:r>
          </w:p>
        </w:tc>
        <w:tc>
          <w:tcPr>
            <w:tcW w:w="1337"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03机房</w:t>
            </w:r>
          </w:p>
        </w:tc>
        <w:tc>
          <w:tcPr>
            <w:tcW w:w="2634" w:type="pct"/>
            <w:noWrap/>
            <w:tcMar>
              <w:top w:w="15" w:type="dxa"/>
              <w:left w:w="15" w:type="dxa"/>
              <w:right w:w="15" w:type="dxa"/>
            </w:tcMar>
            <w:vAlign w:val="center"/>
          </w:tcPr>
          <w:p>
            <w:pPr>
              <w:jc w:val="center"/>
              <w:rPr>
                <w:rFonts w:ascii="仿宋" w:hAnsi="仿宋" w:eastAsia="仿宋" w:cs="仿宋"/>
                <w:kern w:val="0"/>
                <w:sz w:val="24"/>
                <w:lang w:bidi="ar"/>
              </w:rPr>
            </w:pPr>
            <w:r>
              <w:rPr>
                <w:rFonts w:hint="eastAsia" w:ascii="仿宋" w:hAnsi="仿宋" w:eastAsia="仿宋" w:cs="仿宋"/>
                <w:color w:val="000000"/>
                <w:kern w:val="0"/>
                <w:sz w:val="24"/>
                <w:lang w:bidi="ar"/>
              </w:rPr>
              <w:t>计算机</w:t>
            </w:r>
            <w:r>
              <w:rPr>
                <w:rFonts w:hint="eastAsia" w:ascii="仿宋" w:hAnsi="仿宋" w:eastAsia="仿宋" w:cs="仿宋"/>
                <w:color w:val="000000"/>
                <w:sz w:val="24"/>
              </w:rPr>
              <w:t>62</w:t>
            </w:r>
            <w:r>
              <w:rPr>
                <w:rFonts w:hint="eastAsia" w:ascii="仿宋" w:hAnsi="仿宋" w:eastAsia="仿宋" w:cs="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atLeast"/>
          <w:jc w:val="center"/>
        </w:trPr>
        <w:tc>
          <w:tcPr>
            <w:tcW w:w="1027" w:type="pct"/>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4</w:t>
            </w:r>
          </w:p>
        </w:tc>
        <w:tc>
          <w:tcPr>
            <w:tcW w:w="1337"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04机房</w:t>
            </w:r>
          </w:p>
        </w:tc>
        <w:tc>
          <w:tcPr>
            <w:tcW w:w="2634"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计算机65台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7" w:type="pct"/>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5</w:t>
            </w:r>
          </w:p>
        </w:tc>
        <w:tc>
          <w:tcPr>
            <w:tcW w:w="1337"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05机房</w:t>
            </w:r>
          </w:p>
        </w:tc>
        <w:tc>
          <w:tcPr>
            <w:tcW w:w="2634"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计算机67台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7" w:type="pct"/>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6</w:t>
            </w:r>
          </w:p>
        </w:tc>
        <w:tc>
          <w:tcPr>
            <w:tcW w:w="1337"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06机房</w:t>
            </w:r>
          </w:p>
        </w:tc>
        <w:tc>
          <w:tcPr>
            <w:tcW w:w="2634" w:type="pct"/>
            <w:noWrap/>
            <w:tcMar>
              <w:top w:w="15" w:type="dxa"/>
              <w:left w:w="15" w:type="dxa"/>
              <w:right w:w="15" w:type="dxa"/>
            </w:tcMar>
            <w:vAlign w:val="center"/>
          </w:tcPr>
          <w:p>
            <w:pPr>
              <w:jc w:val="center"/>
              <w:rPr>
                <w:rFonts w:ascii="仿宋" w:hAnsi="仿宋" w:eastAsia="仿宋" w:cs="仿宋"/>
                <w:kern w:val="0"/>
                <w:sz w:val="24"/>
                <w:lang w:bidi="ar"/>
              </w:rPr>
            </w:pPr>
            <w:r>
              <w:rPr>
                <w:rFonts w:hint="eastAsia" w:ascii="仿宋" w:hAnsi="仿宋" w:eastAsia="仿宋" w:cs="仿宋"/>
                <w:color w:val="000000"/>
                <w:kern w:val="0"/>
                <w:sz w:val="24"/>
                <w:lang w:bidi="ar"/>
              </w:rPr>
              <w:t>计算机</w:t>
            </w:r>
            <w:r>
              <w:rPr>
                <w:rFonts w:hint="eastAsia" w:ascii="仿宋" w:hAnsi="仿宋" w:eastAsia="仿宋" w:cs="仿宋"/>
                <w:color w:val="000000"/>
                <w:sz w:val="24"/>
              </w:rPr>
              <w:t>75</w:t>
            </w:r>
            <w:r>
              <w:rPr>
                <w:rFonts w:hint="eastAsia" w:ascii="仿宋" w:hAnsi="仿宋" w:eastAsia="仿宋" w:cs="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 w:hRule="atLeast"/>
          <w:jc w:val="center"/>
        </w:trPr>
        <w:tc>
          <w:tcPr>
            <w:tcW w:w="1027" w:type="pct"/>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7</w:t>
            </w:r>
          </w:p>
        </w:tc>
        <w:tc>
          <w:tcPr>
            <w:tcW w:w="1337"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07机房</w:t>
            </w:r>
          </w:p>
        </w:tc>
        <w:tc>
          <w:tcPr>
            <w:tcW w:w="2634"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计算机66台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1027" w:type="pct"/>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8</w:t>
            </w:r>
          </w:p>
        </w:tc>
        <w:tc>
          <w:tcPr>
            <w:tcW w:w="1337"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08机房</w:t>
            </w:r>
          </w:p>
        </w:tc>
        <w:tc>
          <w:tcPr>
            <w:tcW w:w="2634"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计算机65台</w:t>
            </w:r>
          </w:p>
        </w:tc>
      </w:tr>
    </w:tbl>
    <w:p>
      <w:pPr>
        <w:spacing w:before="156" w:beforeLines="50" w:after="156" w:afterLines="50"/>
        <w:rPr>
          <w:rFonts w:ascii="宋体" w:hAnsi="宋体" w:cs="宋体"/>
          <w:b/>
          <w:bCs/>
          <w:sz w:val="30"/>
          <w:szCs w:val="30"/>
        </w:rPr>
      </w:pPr>
      <w:r>
        <w:rPr>
          <w:rFonts w:hint="eastAsia" w:ascii="宋体" w:hAnsi="宋体" w:cs="宋体"/>
          <w:b/>
          <w:bCs/>
          <w:sz w:val="30"/>
          <w:szCs w:val="30"/>
        </w:rPr>
        <w:t>2、仪器设备</w:t>
      </w:r>
    </w:p>
    <w:tbl>
      <w:tblPr>
        <w:tblStyle w:val="11"/>
        <w:tblW w:w="4999" w:type="pct"/>
        <w:jc w:val="center"/>
        <w:tblLayout w:type="autofit"/>
        <w:tblCellMar>
          <w:top w:w="0" w:type="dxa"/>
          <w:left w:w="108" w:type="dxa"/>
          <w:bottom w:w="0" w:type="dxa"/>
          <w:right w:w="108" w:type="dxa"/>
        </w:tblCellMar>
      </w:tblPr>
      <w:tblGrid>
        <w:gridCol w:w="3767"/>
        <w:gridCol w:w="2388"/>
        <w:gridCol w:w="2365"/>
      </w:tblGrid>
      <w:tr>
        <w:tblPrEx>
          <w:tblCellMar>
            <w:top w:w="0" w:type="dxa"/>
            <w:left w:w="108" w:type="dxa"/>
            <w:bottom w:w="0" w:type="dxa"/>
            <w:right w:w="108" w:type="dxa"/>
          </w:tblCellMar>
        </w:tblPrEx>
        <w:trPr>
          <w:trHeight w:val="565" w:hRule="atLeas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资产名称</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单 位</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数 量</w:t>
            </w:r>
          </w:p>
        </w:tc>
      </w:tr>
      <w:tr>
        <w:tblPrEx>
          <w:tblCellMar>
            <w:top w:w="0" w:type="dxa"/>
            <w:left w:w="108" w:type="dxa"/>
            <w:bottom w:w="0" w:type="dxa"/>
            <w:right w:w="108" w:type="dxa"/>
          </w:tblCellMar>
        </w:tblPrEx>
        <w:trPr>
          <w:trHeight w:val="567"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水准仪</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台</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ascii="仿宋" w:hAnsi="仿宋" w:eastAsia="仿宋" w:cs="仿宋"/>
                <w:kern w:val="0"/>
                <w:sz w:val="24"/>
                <w:lang w:bidi="ar"/>
              </w:rPr>
              <w:t>70</w:t>
            </w:r>
          </w:p>
        </w:tc>
      </w:tr>
      <w:tr>
        <w:tblPrEx>
          <w:tblCellMar>
            <w:top w:w="0" w:type="dxa"/>
            <w:left w:w="108" w:type="dxa"/>
            <w:bottom w:w="0" w:type="dxa"/>
            <w:right w:w="108" w:type="dxa"/>
          </w:tblCellMar>
        </w:tblPrEx>
        <w:trPr>
          <w:trHeight w:val="680"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电子经纬仪</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台</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4</w:t>
            </w:r>
            <w:r>
              <w:rPr>
                <w:rFonts w:ascii="仿宋" w:hAnsi="仿宋" w:eastAsia="仿宋" w:cs="仿宋"/>
                <w:kern w:val="0"/>
                <w:sz w:val="24"/>
                <w:lang w:bidi="ar"/>
              </w:rPr>
              <w:t>0</w:t>
            </w:r>
          </w:p>
        </w:tc>
      </w:tr>
      <w:tr>
        <w:tblPrEx>
          <w:tblCellMar>
            <w:top w:w="0" w:type="dxa"/>
            <w:left w:w="108" w:type="dxa"/>
            <w:bottom w:w="0" w:type="dxa"/>
            <w:right w:w="108" w:type="dxa"/>
          </w:tblCellMar>
        </w:tblPrEx>
        <w:trPr>
          <w:trHeight w:val="567"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全站仪</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台</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ascii="仿宋" w:hAnsi="仿宋" w:eastAsia="仿宋" w:cs="仿宋"/>
                <w:kern w:val="0"/>
                <w:sz w:val="24"/>
                <w:lang w:bidi="ar"/>
              </w:rPr>
              <w:t>80</w:t>
            </w:r>
          </w:p>
        </w:tc>
      </w:tr>
      <w:tr>
        <w:tblPrEx>
          <w:tblCellMar>
            <w:top w:w="0" w:type="dxa"/>
            <w:left w:w="108" w:type="dxa"/>
            <w:bottom w:w="0" w:type="dxa"/>
            <w:right w:w="108" w:type="dxa"/>
          </w:tblCellMar>
        </w:tblPrEx>
        <w:trPr>
          <w:trHeight w:val="567"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GPS</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套</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2</w:t>
            </w:r>
          </w:p>
        </w:tc>
      </w:tr>
      <w:tr>
        <w:tblPrEx>
          <w:tblCellMar>
            <w:top w:w="0" w:type="dxa"/>
            <w:left w:w="108" w:type="dxa"/>
            <w:bottom w:w="0" w:type="dxa"/>
            <w:right w:w="108" w:type="dxa"/>
          </w:tblCellMar>
        </w:tblPrEx>
        <w:trPr>
          <w:trHeight w:val="567"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无人机</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架</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ascii="仿宋" w:hAnsi="仿宋" w:eastAsia="仿宋" w:cs="仿宋"/>
                <w:kern w:val="0"/>
                <w:sz w:val="24"/>
                <w:lang w:bidi="ar"/>
              </w:rPr>
              <w:t>10</w:t>
            </w:r>
          </w:p>
        </w:tc>
      </w:tr>
      <w:tr>
        <w:tblPrEx>
          <w:tblCellMar>
            <w:top w:w="0" w:type="dxa"/>
            <w:left w:w="108" w:type="dxa"/>
            <w:bottom w:w="0" w:type="dxa"/>
            <w:right w:w="108" w:type="dxa"/>
          </w:tblCellMar>
        </w:tblPrEx>
        <w:trPr>
          <w:trHeight w:val="680"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棱  镜</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套</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ascii="仿宋" w:hAnsi="仿宋" w:eastAsia="仿宋" w:cs="仿宋"/>
                <w:kern w:val="0"/>
                <w:sz w:val="24"/>
                <w:lang w:bidi="ar"/>
              </w:rPr>
              <w:t>80</w:t>
            </w:r>
          </w:p>
        </w:tc>
      </w:tr>
      <w:tr>
        <w:tblPrEx>
          <w:tblCellMar>
            <w:top w:w="0" w:type="dxa"/>
            <w:left w:w="108" w:type="dxa"/>
            <w:bottom w:w="0" w:type="dxa"/>
            <w:right w:w="108" w:type="dxa"/>
          </w:tblCellMar>
        </w:tblPrEx>
        <w:trPr>
          <w:trHeight w:val="567"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脚  架</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副</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218</w:t>
            </w:r>
          </w:p>
        </w:tc>
      </w:tr>
      <w:tr>
        <w:tblPrEx>
          <w:tblCellMar>
            <w:top w:w="0" w:type="dxa"/>
            <w:left w:w="108" w:type="dxa"/>
            <w:bottom w:w="0" w:type="dxa"/>
            <w:right w:w="108" w:type="dxa"/>
          </w:tblCellMar>
        </w:tblPrEx>
        <w:trPr>
          <w:trHeight w:val="567"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水准尺</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对</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82</w:t>
            </w:r>
          </w:p>
        </w:tc>
      </w:tr>
      <w:tr>
        <w:tblPrEx>
          <w:tblCellMar>
            <w:top w:w="0" w:type="dxa"/>
            <w:left w:w="108" w:type="dxa"/>
            <w:bottom w:w="0" w:type="dxa"/>
            <w:right w:w="108" w:type="dxa"/>
          </w:tblCellMar>
        </w:tblPrEx>
        <w:trPr>
          <w:trHeight w:val="567"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对中杆</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个</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ascii="仿宋" w:hAnsi="仿宋" w:eastAsia="仿宋" w:cs="仿宋"/>
                <w:kern w:val="0"/>
                <w:sz w:val="24"/>
                <w:lang w:bidi="ar"/>
              </w:rPr>
              <w:t>50</w:t>
            </w:r>
          </w:p>
        </w:tc>
      </w:tr>
      <w:bookmarkEnd w:id="1"/>
    </w:tbl>
    <w:p>
      <w:pPr>
        <w:rPr>
          <w:rFonts w:ascii="宋体" w:hAnsi="宋体" w:cs="宋体"/>
          <w:b/>
          <w:sz w:val="30"/>
          <w:szCs w:val="30"/>
        </w:rPr>
      </w:pPr>
      <w:bookmarkStart w:id="2" w:name="_GoBack"/>
      <w:bookmarkEnd w:id="2"/>
      <w:r>
        <w:rPr>
          <w:rFonts w:hint="eastAsia" w:ascii="宋体" w:hAnsi="宋体" w:cs="宋体"/>
          <w:b/>
          <w:sz w:val="30"/>
          <w:szCs w:val="30"/>
        </w:rPr>
        <w:t>十四、师资队伍</w:t>
      </w:r>
    </w:p>
    <w:p>
      <w:pPr>
        <w:ind w:firstLine="600" w:firstLineChars="200"/>
        <w:rPr>
          <w:rFonts w:ascii="仿宋" w:hAnsi="仿宋" w:eastAsia="仿宋" w:cs="仿宋"/>
          <w:sz w:val="30"/>
          <w:szCs w:val="30"/>
        </w:rPr>
      </w:pPr>
      <w:r>
        <w:rPr>
          <w:rFonts w:hint="eastAsia" w:ascii="仿宋" w:hAnsi="仿宋" w:eastAsia="仿宋" w:cs="仿宋"/>
          <w:sz w:val="30"/>
          <w:szCs w:val="30"/>
        </w:rPr>
        <w:t>通过“校企合作”的方式，充实以行业企业专业人才和能工巧匠为代表的兼职教师队伍，鼓励专任教师到企业实践，提高专兼职教师的职业教育能力，建立一支教育理念先进、实践能力强、教学水平高、专兼职结合、双师结构优化、双师素质优良的教学团队。</w:t>
      </w:r>
    </w:p>
    <w:p>
      <w:pPr>
        <w:ind w:firstLine="600" w:firstLineChars="200"/>
        <w:rPr>
          <w:rFonts w:ascii="仿宋" w:hAnsi="仿宋" w:eastAsia="仿宋" w:cs="仿宋"/>
          <w:sz w:val="30"/>
          <w:szCs w:val="30"/>
        </w:rPr>
      </w:pPr>
      <w:r>
        <w:rPr>
          <w:rFonts w:hint="eastAsia" w:ascii="仿宋" w:hAnsi="仿宋" w:eastAsia="仿宋" w:cs="仿宋"/>
          <w:sz w:val="30"/>
          <w:szCs w:val="30"/>
        </w:rPr>
        <w:t>（一）专业带头人的基本要求</w:t>
      </w:r>
    </w:p>
    <w:p>
      <w:pPr>
        <w:ind w:firstLine="600" w:firstLineChars="200"/>
        <w:rPr>
          <w:rFonts w:ascii="仿宋" w:hAnsi="仿宋" w:eastAsia="仿宋" w:cs="仿宋"/>
          <w:sz w:val="30"/>
          <w:szCs w:val="30"/>
        </w:rPr>
      </w:pPr>
      <w:r>
        <w:rPr>
          <w:rFonts w:hint="eastAsia" w:ascii="仿宋" w:hAnsi="仿宋" w:eastAsia="仿宋" w:cs="仿宋"/>
          <w:sz w:val="30"/>
          <w:szCs w:val="30"/>
        </w:rPr>
        <w:t>具有较高的职业教育认识能力、专业发展方向把握能力、课程开发能力、教研教改能力、学术研究尤其是应用技术开发能力、组织协调能力，能带领专业建设团队构建基于工作过程的“层次化、模块化”的课程体系。</w:t>
      </w:r>
    </w:p>
    <w:p>
      <w:pPr>
        <w:rPr>
          <w:rFonts w:ascii="仿宋" w:hAnsi="仿宋" w:eastAsia="仿宋" w:cs="仿宋"/>
          <w:sz w:val="30"/>
          <w:szCs w:val="30"/>
        </w:rPr>
      </w:pPr>
      <w:r>
        <w:rPr>
          <w:rFonts w:hint="eastAsia" w:ascii="仿宋" w:hAnsi="仿宋" w:eastAsia="仿宋" w:cs="仿宋"/>
          <w:sz w:val="30"/>
          <w:szCs w:val="30"/>
        </w:rPr>
        <w:t>（二）专任教师、兼职教师的配置与要求</w:t>
      </w:r>
    </w:p>
    <w:p>
      <w:pPr>
        <w:numPr>
          <w:ilvl w:val="0"/>
          <w:numId w:val="5"/>
        </w:numPr>
        <w:ind w:firstLine="600" w:firstLineChars="200"/>
        <w:rPr>
          <w:rFonts w:ascii="仿宋" w:hAnsi="仿宋" w:eastAsia="仿宋" w:cs="仿宋"/>
          <w:sz w:val="30"/>
          <w:szCs w:val="30"/>
        </w:rPr>
      </w:pPr>
      <w:r>
        <w:rPr>
          <w:rFonts w:hint="eastAsia" w:ascii="仿宋" w:hAnsi="仿宋" w:eastAsia="仿宋" w:cs="仿宋"/>
          <w:sz w:val="30"/>
          <w:szCs w:val="30"/>
        </w:rPr>
        <w:t>本专业的专任教师应具有中等职业学校及以上学校的教师任职资格。</w:t>
      </w:r>
    </w:p>
    <w:p>
      <w:pPr>
        <w:numPr>
          <w:ilvl w:val="0"/>
          <w:numId w:val="5"/>
        </w:numPr>
        <w:ind w:firstLine="600" w:firstLineChars="200"/>
        <w:rPr>
          <w:rFonts w:ascii="仿宋" w:hAnsi="仿宋" w:eastAsia="仿宋" w:cs="仿宋"/>
          <w:sz w:val="30"/>
          <w:szCs w:val="30"/>
        </w:rPr>
      </w:pPr>
      <w:r>
        <w:rPr>
          <w:rFonts w:hint="eastAsia" w:ascii="仿宋" w:hAnsi="仿宋" w:eastAsia="仿宋" w:cs="仿宋"/>
          <w:sz w:val="30"/>
          <w:szCs w:val="30"/>
        </w:rPr>
        <w:t>本专业课程中的 30%以上授课任务应由经过测绘专业系统培训、具有中级及以上职称和一定实践经验的专任教师担任。</w:t>
      </w:r>
    </w:p>
    <w:p>
      <w:pPr>
        <w:numPr>
          <w:ilvl w:val="0"/>
          <w:numId w:val="5"/>
        </w:numPr>
        <w:ind w:firstLine="600" w:firstLineChars="200"/>
        <w:rPr>
          <w:rFonts w:ascii="仿宋" w:hAnsi="仿宋" w:eastAsia="仿宋" w:cs="仿宋"/>
          <w:sz w:val="30"/>
          <w:szCs w:val="30"/>
        </w:rPr>
      </w:pPr>
      <w:r>
        <w:rPr>
          <w:rFonts w:hint="eastAsia" w:ascii="仿宋" w:hAnsi="仿宋" w:eastAsia="仿宋" w:cs="仿宋"/>
          <w:sz w:val="30"/>
          <w:szCs w:val="30"/>
        </w:rPr>
        <w:t xml:space="preserve">根据专业教学需要，可聘请一定数量、相对稳定的兼职教师。兼职专业教师应具有本科或本科以上学历，中级技术职称，从事测绘专业实践工作 5 年以上；兼职教师占专业教师总量比例达到 25%。 </w:t>
      </w:r>
    </w:p>
    <w:p>
      <w:pPr>
        <w:rPr>
          <w:rFonts w:ascii="宋体" w:hAnsi="宋体" w:cs="宋体"/>
          <w:b/>
          <w:sz w:val="30"/>
          <w:szCs w:val="30"/>
        </w:rPr>
      </w:pPr>
      <w:r>
        <w:rPr>
          <w:rFonts w:hint="eastAsia" w:ascii="宋体" w:hAnsi="宋体" w:cs="宋体"/>
          <w:b/>
          <w:sz w:val="30"/>
          <w:szCs w:val="30"/>
        </w:rPr>
        <w:t>十五、毕业要求</w:t>
      </w:r>
    </w:p>
    <w:p>
      <w:pPr>
        <w:numPr>
          <w:ilvl w:val="0"/>
          <w:numId w:val="6"/>
        </w:numPr>
        <w:ind w:firstLine="600" w:firstLineChars="200"/>
        <w:rPr>
          <w:rFonts w:ascii="仿宋" w:hAnsi="仿宋" w:eastAsia="仿宋" w:cs="仿宋"/>
          <w:sz w:val="30"/>
          <w:szCs w:val="30"/>
        </w:rPr>
      </w:pPr>
      <w:r>
        <w:rPr>
          <w:rFonts w:hint="eastAsia" w:ascii="仿宋" w:hAnsi="仿宋" w:eastAsia="仿宋" w:cs="仿宋"/>
          <w:sz w:val="30"/>
          <w:szCs w:val="30"/>
        </w:rPr>
        <w:t>所有课程均需进行考核，考试考查课程见课程设计表；毕业实习结束学生必须写出实习总结和实习报告或论文一份且附有实习单位的鉴定材料。</w:t>
      </w:r>
    </w:p>
    <w:p>
      <w:pPr>
        <w:ind w:firstLine="600" w:firstLineChars="200"/>
        <w:rPr>
          <w:rFonts w:ascii="宋体" w:hAnsi="宋体" w:cs="宋体"/>
          <w:sz w:val="30"/>
          <w:szCs w:val="30"/>
        </w:rPr>
      </w:pPr>
      <w:r>
        <w:rPr>
          <w:rFonts w:hint="eastAsia" w:ascii="宋体" w:hAnsi="宋体" w:cs="宋体"/>
          <w:sz w:val="30"/>
          <w:szCs w:val="30"/>
        </w:rPr>
        <w:t>（二）毕业考核</w:t>
      </w:r>
    </w:p>
    <w:p>
      <w:pPr>
        <w:ind w:firstLine="600" w:firstLineChars="200"/>
        <w:rPr>
          <w:rFonts w:ascii="仿宋" w:hAnsi="仿宋" w:eastAsia="仿宋" w:cs="仿宋"/>
          <w:sz w:val="30"/>
          <w:szCs w:val="30"/>
        </w:rPr>
      </w:pPr>
      <w:r>
        <w:rPr>
          <w:rFonts w:hint="eastAsia" w:ascii="仿宋" w:hAnsi="仿宋" w:eastAsia="仿宋" w:cs="仿宋"/>
          <w:sz w:val="30"/>
          <w:szCs w:val="30"/>
        </w:rPr>
        <w:t>1.文化基础综合：按专业岗位操作技能型人才的所必需具备的文化基础知识规格要求，考查和考核相结合，实行教考分离。</w:t>
      </w:r>
    </w:p>
    <w:p>
      <w:pPr>
        <w:ind w:firstLine="600" w:firstLineChars="200"/>
        <w:rPr>
          <w:rFonts w:ascii="仿宋" w:hAnsi="仿宋" w:eastAsia="仿宋" w:cs="仿宋"/>
          <w:sz w:val="30"/>
          <w:szCs w:val="30"/>
        </w:rPr>
      </w:pPr>
      <w:r>
        <w:rPr>
          <w:rFonts w:hint="eastAsia" w:ascii="仿宋" w:hAnsi="仿宋" w:eastAsia="仿宋" w:cs="仿宋"/>
          <w:sz w:val="30"/>
          <w:szCs w:val="30"/>
        </w:rPr>
        <w:t>2.专业理论综合：按专业岗位操作技能型人才的所必需具备的专业理论综合知识的规格要求，考查与考核相结合，实行教考分离。</w:t>
      </w:r>
    </w:p>
    <w:p>
      <w:pPr>
        <w:ind w:firstLine="600" w:firstLineChars="200"/>
        <w:rPr>
          <w:rFonts w:ascii="仿宋" w:hAnsi="仿宋" w:eastAsia="仿宋" w:cs="仿宋"/>
          <w:sz w:val="30"/>
          <w:szCs w:val="30"/>
        </w:rPr>
      </w:pPr>
      <w:r>
        <w:rPr>
          <w:rFonts w:hint="eastAsia" w:ascii="仿宋" w:hAnsi="仿宋" w:eastAsia="仿宋" w:cs="仿宋"/>
          <w:sz w:val="30"/>
          <w:szCs w:val="30"/>
        </w:rPr>
        <w:t>3.专业主要技能：在实习现场或校内实训场地，参照国家相关职业资格或技术等级标准要求，进行考核，达到学校相关等级要求。</w:t>
      </w:r>
    </w:p>
    <w:p>
      <w:pPr>
        <w:ind w:firstLine="600" w:firstLineChars="200"/>
        <w:rPr>
          <w:rFonts w:ascii="仿宋" w:hAnsi="仿宋" w:eastAsia="仿宋" w:cs="仿宋"/>
          <w:sz w:val="30"/>
          <w:szCs w:val="30"/>
        </w:rPr>
      </w:pPr>
      <w:r>
        <w:rPr>
          <w:rFonts w:hint="eastAsia" w:ascii="仿宋" w:hAnsi="仿宋" w:eastAsia="仿宋" w:cs="仿宋"/>
          <w:sz w:val="30"/>
          <w:szCs w:val="30"/>
        </w:rPr>
        <w:t>4.学生毕业必须取得学生毕业证。</w:t>
      </w:r>
    </w:p>
    <w:p>
      <w:pPr>
        <w:spacing w:line="360" w:lineRule="auto"/>
        <w:jc w:val="center"/>
        <w:rPr>
          <w:rFonts w:ascii="仿宋" w:hAnsi="仿宋" w:eastAsia="仿宋" w:cs="仿宋"/>
          <w:sz w:val="30"/>
          <w:szCs w:val="30"/>
        </w:rPr>
      </w:pPr>
    </w:p>
    <w:p>
      <w:pPr>
        <w:spacing w:line="360" w:lineRule="auto"/>
        <w:jc w:val="center"/>
        <w:rPr>
          <w:rFonts w:ascii="仿宋" w:hAnsi="仿宋" w:eastAsia="仿宋" w:cs="仿宋"/>
          <w:sz w:val="30"/>
          <w:szCs w:val="30"/>
        </w:rPr>
      </w:pPr>
    </w:p>
    <w:p>
      <w:pPr>
        <w:spacing w:line="360" w:lineRule="auto"/>
        <w:jc w:val="center"/>
        <w:rPr>
          <w:rFonts w:ascii="仿宋" w:hAnsi="仿宋" w:eastAsia="仿宋" w:cs="仿宋"/>
          <w:sz w:val="30"/>
          <w:szCs w:val="30"/>
        </w:rPr>
      </w:pPr>
    </w:p>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i91E0AAAAAIBAAAPAAAAAAAAAAEAIAAAACIAAABkcnMv&#10;ZG93bnJldi54bWxQSwECFAAUAAAACACHTuJAUMXU5AsCAAABBAAADgAAAAAAAAABACAAAAAfAQAA&#10;ZHJzL2Uyb0RvYy54bWxQSwUGAAAAAAYABgBZAQAAnAU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inline distT="0" distB="0" distL="0" distR="0">
          <wp:extent cx="4495800" cy="6781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95800" cy="678180"/>
                  </a:xfrm>
                  <a:prstGeom prst="rect">
                    <a:avLst/>
                  </a:prstGeom>
                  <a:noFill/>
                  <a:ln>
                    <a:noFill/>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inline distT="0" distB="0" distL="0" distR="0">
          <wp:extent cx="4495800" cy="6781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95800" cy="678180"/>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617EEA"/>
    <w:multiLevelType w:val="singleLevel"/>
    <w:tmpl w:val="CB617EEA"/>
    <w:lvl w:ilvl="0" w:tentative="0">
      <w:start w:val="2"/>
      <w:numFmt w:val="decimal"/>
      <w:suff w:val="nothing"/>
      <w:lvlText w:val="%1、"/>
      <w:lvlJc w:val="left"/>
    </w:lvl>
  </w:abstractNum>
  <w:abstractNum w:abstractNumId="1">
    <w:nsid w:val="D17A1E00"/>
    <w:multiLevelType w:val="singleLevel"/>
    <w:tmpl w:val="D17A1E00"/>
    <w:lvl w:ilvl="0" w:tentative="0">
      <w:start w:val="1"/>
      <w:numFmt w:val="chineseCounting"/>
      <w:suff w:val="nothing"/>
      <w:lvlText w:val="（%1）"/>
      <w:lvlJc w:val="left"/>
      <w:rPr>
        <w:rFonts w:hint="eastAsia"/>
      </w:rPr>
    </w:lvl>
  </w:abstractNum>
  <w:abstractNum w:abstractNumId="2">
    <w:nsid w:val="EF187487"/>
    <w:multiLevelType w:val="singleLevel"/>
    <w:tmpl w:val="EF187487"/>
    <w:lvl w:ilvl="0" w:tentative="0">
      <w:start w:val="1"/>
      <w:numFmt w:val="decimal"/>
      <w:suff w:val="nothing"/>
      <w:lvlText w:val="%1、"/>
      <w:lvlJc w:val="left"/>
    </w:lvl>
  </w:abstractNum>
  <w:abstractNum w:abstractNumId="3">
    <w:nsid w:val="FFF0ED77"/>
    <w:multiLevelType w:val="singleLevel"/>
    <w:tmpl w:val="FFF0ED77"/>
    <w:lvl w:ilvl="0" w:tentative="0">
      <w:start w:val="6"/>
      <w:numFmt w:val="chineseCounting"/>
      <w:suff w:val="nothing"/>
      <w:lvlText w:val="%1、"/>
      <w:lvlJc w:val="left"/>
      <w:rPr>
        <w:rFonts w:hint="eastAsia"/>
      </w:rPr>
    </w:lvl>
  </w:abstractNum>
  <w:abstractNum w:abstractNumId="4">
    <w:nsid w:val="19C899B9"/>
    <w:multiLevelType w:val="singleLevel"/>
    <w:tmpl w:val="19C899B9"/>
    <w:lvl w:ilvl="0" w:tentative="0">
      <w:start w:val="10"/>
      <w:numFmt w:val="chineseCounting"/>
      <w:suff w:val="nothing"/>
      <w:lvlText w:val="%1、"/>
      <w:lvlJc w:val="left"/>
      <w:rPr>
        <w:rFonts w:hint="eastAsia"/>
      </w:rPr>
    </w:lvl>
  </w:abstractNum>
  <w:abstractNum w:abstractNumId="5">
    <w:nsid w:val="6FEA6349"/>
    <w:multiLevelType w:val="singleLevel"/>
    <w:tmpl w:val="6FEA6349"/>
    <w:lvl w:ilvl="0" w:tentative="0">
      <w:start w:val="1"/>
      <w:numFmt w:val="chineseCounting"/>
      <w:suff w:val="nothing"/>
      <w:lvlText w:val="（%1）"/>
      <w:lvlJc w:val="left"/>
      <w:rPr>
        <w:rFonts w:hint="eastAsia"/>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32"/>
    <w:rsid w:val="00015EBE"/>
    <w:rsid w:val="000469D2"/>
    <w:rsid w:val="0005197F"/>
    <w:rsid w:val="00054EDE"/>
    <w:rsid w:val="00076D3F"/>
    <w:rsid w:val="00077728"/>
    <w:rsid w:val="00081C30"/>
    <w:rsid w:val="00090810"/>
    <w:rsid w:val="000B02A2"/>
    <w:rsid w:val="000C29A0"/>
    <w:rsid w:val="000D61F4"/>
    <w:rsid w:val="00105158"/>
    <w:rsid w:val="001250BF"/>
    <w:rsid w:val="0014300C"/>
    <w:rsid w:val="001705F1"/>
    <w:rsid w:val="0018655A"/>
    <w:rsid w:val="00192F21"/>
    <w:rsid w:val="00196DAE"/>
    <w:rsid w:val="001B0599"/>
    <w:rsid w:val="001F7C1C"/>
    <w:rsid w:val="00241CDF"/>
    <w:rsid w:val="00245379"/>
    <w:rsid w:val="0024555B"/>
    <w:rsid w:val="002457E1"/>
    <w:rsid w:val="002567DA"/>
    <w:rsid w:val="002A76F9"/>
    <w:rsid w:val="00381954"/>
    <w:rsid w:val="00384366"/>
    <w:rsid w:val="00394432"/>
    <w:rsid w:val="003D49D2"/>
    <w:rsid w:val="0040217E"/>
    <w:rsid w:val="004149ED"/>
    <w:rsid w:val="004170F0"/>
    <w:rsid w:val="00453663"/>
    <w:rsid w:val="00480890"/>
    <w:rsid w:val="004871E9"/>
    <w:rsid w:val="004A06FA"/>
    <w:rsid w:val="004B6CDB"/>
    <w:rsid w:val="00560BE5"/>
    <w:rsid w:val="00596F8A"/>
    <w:rsid w:val="00660B1C"/>
    <w:rsid w:val="00685C3A"/>
    <w:rsid w:val="006872A9"/>
    <w:rsid w:val="006C38BE"/>
    <w:rsid w:val="006F50BC"/>
    <w:rsid w:val="00712F4C"/>
    <w:rsid w:val="007164BB"/>
    <w:rsid w:val="00722FCC"/>
    <w:rsid w:val="00733DCF"/>
    <w:rsid w:val="007927B0"/>
    <w:rsid w:val="007B44E9"/>
    <w:rsid w:val="007E7C55"/>
    <w:rsid w:val="007F6CCA"/>
    <w:rsid w:val="0080181B"/>
    <w:rsid w:val="00801F51"/>
    <w:rsid w:val="008F7872"/>
    <w:rsid w:val="00912C52"/>
    <w:rsid w:val="0095199C"/>
    <w:rsid w:val="009A3171"/>
    <w:rsid w:val="009D7677"/>
    <w:rsid w:val="00A63982"/>
    <w:rsid w:val="00B169A8"/>
    <w:rsid w:val="00B21E7B"/>
    <w:rsid w:val="00B40EB7"/>
    <w:rsid w:val="00B82A74"/>
    <w:rsid w:val="00BC3BBC"/>
    <w:rsid w:val="00BE0E82"/>
    <w:rsid w:val="00BF6703"/>
    <w:rsid w:val="00C26C7C"/>
    <w:rsid w:val="00C36AAE"/>
    <w:rsid w:val="00C56241"/>
    <w:rsid w:val="00C86341"/>
    <w:rsid w:val="00D0439C"/>
    <w:rsid w:val="00D373B3"/>
    <w:rsid w:val="00DC2A9B"/>
    <w:rsid w:val="00E30589"/>
    <w:rsid w:val="00E5450B"/>
    <w:rsid w:val="00E63A6C"/>
    <w:rsid w:val="00E74596"/>
    <w:rsid w:val="00EC16FA"/>
    <w:rsid w:val="00EF29AE"/>
    <w:rsid w:val="00FB3822"/>
    <w:rsid w:val="00FD36C9"/>
    <w:rsid w:val="01F20EFE"/>
    <w:rsid w:val="129F54E2"/>
    <w:rsid w:val="13D27469"/>
    <w:rsid w:val="196C3572"/>
    <w:rsid w:val="1B2D353D"/>
    <w:rsid w:val="20FF0538"/>
    <w:rsid w:val="25A050CF"/>
    <w:rsid w:val="25CD4B37"/>
    <w:rsid w:val="26A05A17"/>
    <w:rsid w:val="27267FA1"/>
    <w:rsid w:val="2A733F0E"/>
    <w:rsid w:val="2AEC3F9A"/>
    <w:rsid w:val="2C321DF9"/>
    <w:rsid w:val="2F0D589F"/>
    <w:rsid w:val="32131989"/>
    <w:rsid w:val="3621174B"/>
    <w:rsid w:val="388016B8"/>
    <w:rsid w:val="38AE7BA5"/>
    <w:rsid w:val="43830BEC"/>
    <w:rsid w:val="4DD55A48"/>
    <w:rsid w:val="4E53614E"/>
    <w:rsid w:val="4E93749B"/>
    <w:rsid w:val="52223BE1"/>
    <w:rsid w:val="557F51D7"/>
    <w:rsid w:val="583A4E0E"/>
    <w:rsid w:val="5DC80D00"/>
    <w:rsid w:val="5FDB440F"/>
    <w:rsid w:val="610C3595"/>
    <w:rsid w:val="625E3F5F"/>
    <w:rsid w:val="631A2FAB"/>
    <w:rsid w:val="641D1B58"/>
    <w:rsid w:val="65D22DC3"/>
    <w:rsid w:val="6EBF04F3"/>
    <w:rsid w:val="72A4263B"/>
    <w:rsid w:val="76A8191C"/>
    <w:rsid w:val="7BB30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before="340" w:after="330" w:line="576" w:lineRule="auto"/>
      <w:outlineLvl w:val="0"/>
    </w:pPr>
    <w:rPr>
      <w:rFonts w:ascii="Calibri" w:hAnsi="Calibri"/>
      <w:b/>
      <w:kern w:val="44"/>
      <w:sz w:val="44"/>
    </w:rPr>
  </w:style>
  <w:style w:type="paragraph" w:styleId="3">
    <w:name w:val="heading 5"/>
    <w:basedOn w:val="1"/>
    <w:next w:val="1"/>
    <w:link w:val="32"/>
    <w:semiHidden/>
    <w:unhideWhenUsed/>
    <w:qFormat/>
    <w:uiPriority w:val="9"/>
    <w:pPr>
      <w:keepNext/>
      <w:keepLines/>
      <w:spacing w:before="280" w:after="290" w:line="376" w:lineRule="auto"/>
      <w:outlineLvl w:val="4"/>
    </w:pPr>
    <w:rPr>
      <w:b/>
      <w:bCs/>
      <w:sz w:val="28"/>
      <w:szCs w:val="28"/>
    </w:rPr>
  </w:style>
  <w:style w:type="paragraph" w:styleId="4">
    <w:name w:val="heading 7"/>
    <w:basedOn w:val="1"/>
    <w:next w:val="1"/>
    <w:qFormat/>
    <w:uiPriority w:val="0"/>
    <w:pPr>
      <w:keepNext/>
      <w:keepLines/>
      <w:spacing w:before="240" w:after="64" w:line="317" w:lineRule="auto"/>
      <w:outlineLvl w:val="6"/>
    </w:pPr>
    <w:rPr>
      <w:b/>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3"/>
    <w:semiHidden/>
    <w:unhideWhenUsed/>
    <w:qFormat/>
    <w:uiPriority w:val="99"/>
    <w:pPr>
      <w:jc w:val="left"/>
    </w:pPr>
  </w:style>
  <w:style w:type="paragraph" w:styleId="6">
    <w:name w:val="Balloon Text"/>
    <w:basedOn w:val="1"/>
    <w:link w:val="35"/>
    <w:semiHidden/>
    <w:unhideWhenUsed/>
    <w:qFormat/>
    <w:uiPriority w:val="99"/>
    <w:rPr>
      <w:sz w:val="18"/>
      <w:szCs w:val="18"/>
    </w:rPr>
  </w:style>
  <w:style w:type="paragraph" w:styleId="7">
    <w:name w:val="footer"/>
    <w:basedOn w:val="1"/>
    <w:link w:val="25"/>
    <w:unhideWhenUsed/>
    <w:qFormat/>
    <w:uiPriority w:val="0"/>
    <w:pPr>
      <w:tabs>
        <w:tab w:val="center" w:pos="4153"/>
        <w:tab w:val="right" w:pos="8306"/>
      </w:tabs>
      <w:snapToGrid w:val="0"/>
      <w:jc w:val="left"/>
    </w:pPr>
    <w:rPr>
      <w:sz w:val="18"/>
      <w:szCs w:val="18"/>
    </w:rPr>
  </w:style>
  <w:style w:type="paragraph" w:styleId="8">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rFonts w:ascii="Calibri" w:hAnsi="Calibri" w:eastAsia="宋体"/>
      <w:szCs w:val="22"/>
    </w:rPr>
  </w:style>
  <w:style w:type="paragraph" w:styleId="10">
    <w:name w:val="annotation subject"/>
    <w:basedOn w:val="5"/>
    <w:next w:val="5"/>
    <w:link w:val="34"/>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qFormat/>
    <w:uiPriority w:val="0"/>
    <w:rPr>
      <w:color w:val="2D64B3"/>
      <w:u w:val="none"/>
    </w:rPr>
  </w:style>
  <w:style w:type="character" w:styleId="15">
    <w:name w:val="Emphasis"/>
    <w:basedOn w:val="13"/>
    <w:qFormat/>
    <w:uiPriority w:val="0"/>
  </w:style>
  <w:style w:type="character" w:styleId="16">
    <w:name w:val="HTML Definition"/>
    <w:basedOn w:val="13"/>
    <w:qFormat/>
    <w:uiPriority w:val="0"/>
  </w:style>
  <w:style w:type="character" w:styleId="17">
    <w:name w:val="HTML Variable"/>
    <w:basedOn w:val="13"/>
    <w:qFormat/>
    <w:uiPriority w:val="0"/>
  </w:style>
  <w:style w:type="character" w:styleId="18">
    <w:name w:val="Hyperlink"/>
    <w:basedOn w:val="13"/>
    <w:qFormat/>
    <w:uiPriority w:val="0"/>
    <w:rPr>
      <w:color w:val="2D64B3"/>
      <w:u w:val="none"/>
    </w:rPr>
  </w:style>
  <w:style w:type="character" w:styleId="19">
    <w:name w:val="HTML Code"/>
    <w:basedOn w:val="13"/>
    <w:qFormat/>
    <w:uiPriority w:val="0"/>
    <w:rPr>
      <w:rFonts w:hint="default" w:ascii="Arial" w:hAnsi="Arial" w:cs="Arial"/>
      <w:sz w:val="20"/>
    </w:rPr>
  </w:style>
  <w:style w:type="character" w:styleId="20">
    <w:name w:val="annotation reference"/>
    <w:basedOn w:val="13"/>
    <w:semiHidden/>
    <w:unhideWhenUsed/>
    <w:qFormat/>
    <w:uiPriority w:val="99"/>
    <w:rPr>
      <w:sz w:val="21"/>
      <w:szCs w:val="21"/>
    </w:rPr>
  </w:style>
  <w:style w:type="character" w:styleId="21">
    <w:name w:val="HTML Cite"/>
    <w:basedOn w:val="13"/>
    <w:qFormat/>
    <w:uiPriority w:val="0"/>
  </w:style>
  <w:style w:type="character" w:styleId="22">
    <w:name w:val="HTML Keyboard"/>
    <w:basedOn w:val="13"/>
    <w:qFormat/>
    <w:uiPriority w:val="0"/>
    <w:rPr>
      <w:rFonts w:hint="default" w:ascii="Arial" w:hAnsi="Arial" w:cs="Arial"/>
      <w:sz w:val="20"/>
    </w:rPr>
  </w:style>
  <w:style w:type="character" w:styleId="23">
    <w:name w:val="HTML Sample"/>
    <w:basedOn w:val="13"/>
    <w:qFormat/>
    <w:uiPriority w:val="0"/>
    <w:rPr>
      <w:rFonts w:hint="eastAsia" w:ascii="Arial" w:hAnsi="Arial" w:cs="Arial"/>
    </w:rPr>
  </w:style>
  <w:style w:type="character" w:customStyle="1" w:styleId="24">
    <w:name w:val="页眉 字符"/>
    <w:basedOn w:val="13"/>
    <w:link w:val="8"/>
    <w:qFormat/>
    <w:uiPriority w:val="99"/>
    <w:rPr>
      <w:sz w:val="18"/>
      <w:szCs w:val="18"/>
    </w:rPr>
  </w:style>
  <w:style w:type="character" w:customStyle="1" w:styleId="25">
    <w:name w:val="页脚 字符"/>
    <w:basedOn w:val="13"/>
    <w:link w:val="7"/>
    <w:qFormat/>
    <w:uiPriority w:val="99"/>
    <w:rPr>
      <w:sz w:val="18"/>
      <w:szCs w:val="18"/>
    </w:rPr>
  </w:style>
  <w:style w:type="paragraph" w:customStyle="1" w:styleId="26">
    <w:name w:val="Char Char3 Char Char"/>
    <w:basedOn w:val="1"/>
    <w:next w:val="1"/>
    <w:qFormat/>
    <w:uiPriority w:val="0"/>
    <w:pPr>
      <w:widowControl/>
      <w:spacing w:line="560" w:lineRule="exact"/>
      <w:ind w:firstLine="560" w:firstLineChars="200"/>
    </w:pPr>
  </w:style>
  <w:style w:type="character" w:customStyle="1" w:styleId="27">
    <w:name w:val="标题 1 字符"/>
    <w:basedOn w:val="13"/>
    <w:link w:val="2"/>
    <w:qFormat/>
    <w:uiPriority w:val="0"/>
    <w:rPr>
      <w:rFonts w:ascii="Calibri" w:hAnsi="Calibri" w:eastAsia="宋体" w:cs="Times New Roman"/>
      <w:b/>
      <w:kern w:val="44"/>
      <w:sz w:val="44"/>
      <w:szCs w:val="24"/>
    </w:rPr>
  </w:style>
  <w:style w:type="character" w:customStyle="1" w:styleId="28">
    <w:name w:val="font11"/>
    <w:basedOn w:val="13"/>
    <w:qFormat/>
    <w:uiPriority w:val="0"/>
    <w:rPr>
      <w:rFonts w:hint="eastAsia" w:ascii="宋体" w:hAnsi="宋体" w:eastAsia="宋体" w:cs="宋体"/>
      <w:color w:val="000000"/>
      <w:sz w:val="24"/>
      <w:szCs w:val="24"/>
      <w:u w:val="none"/>
    </w:rPr>
  </w:style>
  <w:style w:type="paragraph" w:styleId="29">
    <w:name w:val="List Paragraph"/>
    <w:basedOn w:val="1"/>
    <w:qFormat/>
    <w:uiPriority w:val="34"/>
    <w:pPr>
      <w:ind w:firstLine="420" w:firstLineChars="200"/>
    </w:pPr>
  </w:style>
  <w:style w:type="table" w:customStyle="1" w:styleId="30">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1">
    <w:name w:val="Table Paragraph"/>
    <w:basedOn w:val="1"/>
    <w:qFormat/>
    <w:uiPriority w:val="1"/>
    <w:pPr>
      <w:autoSpaceDE w:val="0"/>
      <w:autoSpaceDN w:val="0"/>
      <w:jc w:val="left"/>
    </w:pPr>
    <w:rPr>
      <w:rFonts w:eastAsia="Times New Roman"/>
      <w:kern w:val="0"/>
      <w:sz w:val="22"/>
      <w:szCs w:val="22"/>
      <w:lang w:eastAsia="en-US"/>
    </w:rPr>
  </w:style>
  <w:style w:type="character" w:customStyle="1" w:styleId="32">
    <w:name w:val="标题 5 字符"/>
    <w:basedOn w:val="13"/>
    <w:link w:val="3"/>
    <w:qFormat/>
    <w:uiPriority w:val="0"/>
    <w:rPr>
      <w:b/>
      <w:bCs/>
      <w:kern w:val="2"/>
      <w:sz w:val="28"/>
      <w:szCs w:val="28"/>
    </w:rPr>
  </w:style>
  <w:style w:type="character" w:customStyle="1" w:styleId="33">
    <w:name w:val="批注文字 字符"/>
    <w:basedOn w:val="13"/>
    <w:link w:val="5"/>
    <w:semiHidden/>
    <w:qFormat/>
    <w:uiPriority w:val="99"/>
    <w:rPr>
      <w:kern w:val="2"/>
      <w:sz w:val="21"/>
      <w:szCs w:val="24"/>
    </w:rPr>
  </w:style>
  <w:style w:type="character" w:customStyle="1" w:styleId="34">
    <w:name w:val="批注主题 字符"/>
    <w:basedOn w:val="33"/>
    <w:link w:val="10"/>
    <w:semiHidden/>
    <w:qFormat/>
    <w:uiPriority w:val="99"/>
    <w:rPr>
      <w:b/>
      <w:bCs/>
      <w:kern w:val="2"/>
      <w:sz w:val="21"/>
      <w:szCs w:val="24"/>
    </w:rPr>
  </w:style>
  <w:style w:type="character" w:customStyle="1" w:styleId="35">
    <w:name w:val="批注框文本 字符"/>
    <w:basedOn w:val="13"/>
    <w:link w:val="6"/>
    <w:semiHidden/>
    <w:qFormat/>
    <w:uiPriority w:val="99"/>
    <w:rPr>
      <w:kern w:val="2"/>
      <w:sz w:val="18"/>
      <w:szCs w:val="18"/>
    </w:rPr>
  </w:style>
  <w:style w:type="paragraph" w:customStyle="1" w:styleId="36">
    <w:name w:val="列出段落1"/>
    <w:basedOn w:val="1"/>
    <w:qFormat/>
    <w:uiPriority w:val="34"/>
    <w:pPr>
      <w:ind w:firstLine="420" w:firstLineChars="200"/>
    </w:pPr>
    <w:rPr>
      <w:rFonts w:ascii="Calibri" w:hAnsi="Calibri" w:eastAsia="宋体"/>
      <w:sz w:val="21"/>
      <w:szCs w:val="22"/>
    </w:rPr>
  </w:style>
  <w:style w:type="paragraph" w:customStyle="1" w:styleId="37">
    <w:name w:val="_Style 11"/>
    <w:basedOn w:val="1"/>
    <w:next w:val="29"/>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D5DBC8-0C8D-48F3-952D-6255FB9AC827}">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1820</Words>
  <Characters>10376</Characters>
  <Lines>86</Lines>
  <Paragraphs>24</Paragraphs>
  <TotalTime>0</TotalTime>
  <ScaleCrop>false</ScaleCrop>
  <LinksUpToDate>false</LinksUpToDate>
  <CharactersWithSpaces>12172</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2020-12-12T02:42:00Z</dcterms:created>
  <dc:creator>xxch</dc:creator>
  <cp:lastModifiedBy>xvlintao</cp:lastModifiedBy>
  <cp:lastPrinted>2020-12-16T12:04:00Z</cp:lastPrinted>
  <dcterms:modified xsi:type="dcterms:W3CDTF">2022-07-09T04:39:23Z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DAAE44393C5641CFB61BF33ACDD77F1F</vt:lpwstr>
  </property>
</Properties>
</file>